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B88E9" w14:textId="7A202B3C" w:rsidR="003D73B3" w:rsidRDefault="003D73B3" w:rsidP="00CA1681">
      <w:pPr>
        <w:ind w:left="-567"/>
      </w:pPr>
    </w:p>
    <w:p w14:paraId="64B944F4" w14:textId="77777777" w:rsidR="00985062" w:rsidRPr="00985062" w:rsidRDefault="00985062" w:rsidP="00985062"/>
    <w:p w14:paraId="44552884" w14:textId="2C02F1AE" w:rsidR="00985062" w:rsidRPr="00985062" w:rsidRDefault="008967EE" w:rsidP="00985062"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62955B4" wp14:editId="3927472A">
                <wp:simplePos x="0" y="0"/>
                <wp:positionH relativeFrom="page">
                  <wp:posOffset>-213360</wp:posOffset>
                </wp:positionH>
                <wp:positionV relativeFrom="paragraph">
                  <wp:posOffset>229235</wp:posOffset>
                </wp:positionV>
                <wp:extent cx="7788275" cy="1300480"/>
                <wp:effectExtent l="0" t="0" r="22225" b="13970"/>
                <wp:wrapNone/>
                <wp:docPr id="2745881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275" cy="1300480"/>
                        </a:xfrm>
                        <a:prstGeom prst="rect">
                          <a:avLst/>
                        </a:prstGeom>
                        <a:solidFill>
                          <a:srgbClr val="28348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EFA5" w14:textId="7D0474A0" w:rsidR="008967EE" w:rsidRPr="00DB11C3" w:rsidRDefault="00EF0000" w:rsidP="008967EE">
                            <w:pPr>
                              <w:tabs>
                                <w:tab w:val="left" w:pos="5062"/>
                              </w:tabs>
                              <w:ind w:firstLine="1418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>Supply Chain</w:t>
                            </w:r>
                            <w:r w:rsidR="00627EB6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 </w:t>
                            </w:r>
                            <w:r w:rsidR="00D7049C" w:rsidRPr="00DB11C3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Worksheet </w:t>
                            </w:r>
                          </w:p>
                          <w:p w14:paraId="14709D30" w14:textId="282A5BA8" w:rsidR="008967EE" w:rsidRPr="00DB11C3" w:rsidRDefault="00D233D9" w:rsidP="00FE5C4E">
                            <w:pPr>
                              <w:tabs>
                                <w:tab w:val="left" w:pos="5062"/>
                              </w:tabs>
                              <w:ind w:left="709" w:firstLine="709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4</w:t>
                            </w:r>
                            <w:r w:rsidR="006D7C8D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Leadtime MOQs and Cashflow</w:t>
                            </w:r>
                            <w:r w:rsidR="00F06F75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955B4" id="Rectangle 1" o:spid="_x0000_s1026" style="position:absolute;margin-left:-16.8pt;margin-top:18.05pt;width:613.25pt;height:102.4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" fillcolor="#283482" strokecolor="#5b9bd5 [3204]" strokeweight=".5pt">
                <v:textbox>
                  <w:txbxContent>
                    <w:p w14:paraId="3C42EFA5" w14:textId="7D0474A0" w:rsidR="008967EE" w:rsidRPr="00DB11C3" w:rsidRDefault="00EF0000" w:rsidP="008967EE">
                      <w:pPr>
                        <w:tabs>
                          <w:tab w:val="left" w:pos="5062"/>
                        </w:tabs>
                        <w:ind w:firstLine="1418"/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>Supply Chain</w:t>
                      </w:r>
                      <w:r w:rsidR="00627EB6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  <w:r w:rsidR="00D7049C" w:rsidRPr="00DB11C3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Worksheet </w:t>
                      </w:r>
                    </w:p>
                    <w:p w14:paraId="14709D30" w14:textId="282A5BA8" w:rsidR="008967EE" w:rsidRPr="00DB11C3" w:rsidRDefault="00D233D9" w:rsidP="00FE5C4E">
                      <w:pPr>
                        <w:tabs>
                          <w:tab w:val="left" w:pos="5062"/>
                        </w:tabs>
                        <w:ind w:left="709" w:firstLine="709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4</w:t>
                      </w:r>
                      <w:r w:rsidR="006D7C8D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Leadtime MOQs and Cashflow</w:t>
                      </w:r>
                      <w:r w:rsidR="00F06F75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D45C78" w14:textId="1717B843" w:rsidR="00985062" w:rsidRPr="00985062" w:rsidRDefault="00985062" w:rsidP="00985062"/>
    <w:p w14:paraId="5EDC0DE4" w14:textId="661F5187" w:rsidR="00985062" w:rsidRPr="00985062" w:rsidRDefault="00985062" w:rsidP="00985062"/>
    <w:p w14:paraId="1B8DBFA3" w14:textId="13EA1D49" w:rsidR="00985062" w:rsidRPr="00985062" w:rsidRDefault="00985062" w:rsidP="00985062"/>
    <w:p w14:paraId="462A5285" w14:textId="083D200B" w:rsidR="00985062" w:rsidRPr="00985062" w:rsidRDefault="00985062" w:rsidP="00985062"/>
    <w:p w14:paraId="597B02AA" w14:textId="77777777" w:rsidR="00985062" w:rsidRPr="00985062" w:rsidRDefault="00985062" w:rsidP="00985062"/>
    <w:p w14:paraId="3AF45B49" w14:textId="77777777" w:rsidR="00985062" w:rsidRPr="00985062" w:rsidRDefault="00985062" w:rsidP="00985062"/>
    <w:p w14:paraId="4A34C7AE" w14:textId="77777777" w:rsidR="00FE5C4E" w:rsidRDefault="00FE5C4E" w:rsidP="009B7963">
      <w:pPr>
        <w:tabs>
          <w:tab w:val="left" w:pos="5062"/>
        </w:tabs>
      </w:pPr>
    </w:p>
    <w:p w14:paraId="7066374B" w14:textId="77777777" w:rsidR="00FE5C4E" w:rsidRDefault="00FE5C4E" w:rsidP="009B7963">
      <w:pPr>
        <w:tabs>
          <w:tab w:val="left" w:pos="5062"/>
        </w:tabs>
      </w:pPr>
    </w:p>
    <w:p w14:paraId="1845D036" w14:textId="77777777" w:rsidR="00D233D9" w:rsidRDefault="00D233D9" w:rsidP="00D233D9">
      <w:pPr>
        <w:tabs>
          <w:tab w:val="left" w:pos="5062"/>
        </w:tabs>
        <w:rPr>
          <w:rFonts w:ascii="Century Gothic" w:hAnsi="Century Gothic"/>
          <w:sz w:val="22"/>
          <w:szCs w:val="22"/>
        </w:rPr>
      </w:pPr>
      <w:r w:rsidRPr="005459E0">
        <w:rPr>
          <w:rFonts w:ascii="Century Gothic" w:hAnsi="Century Gothic"/>
          <w:sz w:val="22"/>
          <w:szCs w:val="22"/>
        </w:rPr>
        <w:t>Lead times and minimum order quantities (MOQs) can make or break cashflow. “Little and often” orders keep cash liquid, but too many micro-orders create admin overload. Bulk buys save cost per unit but risk overstock. Balance is key.</w:t>
      </w:r>
    </w:p>
    <w:p w14:paraId="49515CBE" w14:textId="77777777" w:rsidR="00D233D9" w:rsidRDefault="00D233D9" w:rsidP="00D233D9">
      <w:pPr>
        <w:tabs>
          <w:tab w:val="left" w:pos="5062"/>
        </w:tabs>
        <w:rPr>
          <w:rFonts w:ascii="Century Gothic" w:hAnsi="Century Gothic"/>
          <w:sz w:val="22"/>
          <w:szCs w:val="22"/>
        </w:rPr>
      </w:pPr>
    </w:p>
    <w:p w14:paraId="515FB68B" w14:textId="77777777" w:rsidR="00D233D9" w:rsidRPr="0094588F" w:rsidRDefault="00D233D9" w:rsidP="00D233D9">
      <w:pPr>
        <w:tabs>
          <w:tab w:val="left" w:pos="5062"/>
        </w:tabs>
        <w:rPr>
          <w:rFonts w:ascii="Century Gothic" w:hAnsi="Century Gothic"/>
          <w:color w:val="E63429"/>
          <w:sz w:val="22"/>
          <w:szCs w:val="22"/>
          <w:lang w:val="en-GB"/>
        </w:rPr>
      </w:pPr>
      <w:r w:rsidRPr="0094588F">
        <w:rPr>
          <w:rFonts w:ascii="Century Gothic" w:hAnsi="Century Gothic"/>
          <w:color w:val="E63429"/>
          <w:sz w:val="22"/>
          <w:szCs w:val="22"/>
          <w:lang w:val="en-GB"/>
        </w:rPr>
        <w:t xml:space="preserve">Action: </w:t>
      </w:r>
      <w:r w:rsidRPr="00A22E0E">
        <w:rPr>
          <w:rFonts w:ascii="Century Gothic" w:hAnsi="Century Gothic"/>
          <w:color w:val="E63429"/>
          <w:sz w:val="22"/>
          <w:szCs w:val="22"/>
        </w:rPr>
        <w:t>Match buying patterns to cashflow, storage, and sales cycle</w:t>
      </w:r>
    </w:p>
    <w:p w14:paraId="5FEAE44F" w14:textId="77777777" w:rsidR="00D233D9" w:rsidRDefault="00D233D9" w:rsidP="00D233D9">
      <w:pPr>
        <w:tabs>
          <w:tab w:val="left" w:pos="5062"/>
        </w:tabs>
        <w:rPr>
          <w:rFonts w:ascii="Century Gothic" w:hAnsi="Century Gothic"/>
          <w:b/>
          <w:bCs/>
          <w:sz w:val="20"/>
          <w:szCs w:val="20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6"/>
        <w:gridCol w:w="938"/>
        <w:gridCol w:w="1193"/>
        <w:gridCol w:w="1418"/>
        <w:gridCol w:w="1134"/>
        <w:gridCol w:w="1114"/>
        <w:gridCol w:w="1027"/>
        <w:gridCol w:w="1486"/>
      </w:tblGrid>
      <w:tr w:rsidR="00D233D9" w:rsidRPr="00FB79D2" w14:paraId="74A16347" w14:textId="77777777" w:rsidTr="00C638BC">
        <w:trPr>
          <w:trHeight w:val="468"/>
        </w:trPr>
        <w:tc>
          <w:tcPr>
            <w:tcW w:w="12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5A787" w14:textId="77777777" w:rsidR="00D233D9" w:rsidRPr="00911C8D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Product</w:t>
            </w:r>
          </w:p>
        </w:tc>
        <w:tc>
          <w:tcPr>
            <w:tcW w:w="9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8D768" w14:textId="77777777" w:rsidR="00D233D9" w:rsidRPr="00911C8D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911C8D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Cost £</w:t>
            </w:r>
          </w:p>
        </w:tc>
        <w:tc>
          <w:tcPr>
            <w:tcW w:w="11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CAA2A" w14:textId="77777777" w:rsidR="00D233D9" w:rsidRPr="00911C8D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Weekly Rate of Sale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8F0FC" w14:textId="77777777" w:rsidR="00D233D9" w:rsidRPr="00911C8D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Volume sales trend versus last period</w:t>
            </w:r>
          </w:p>
        </w:tc>
        <w:tc>
          <w:tcPr>
            <w:tcW w:w="1134" w:type="dxa"/>
          </w:tcPr>
          <w:p w14:paraId="5011EAAF" w14:textId="77777777" w:rsidR="00D233D9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Forward weeks stock</w:t>
            </w:r>
          </w:p>
        </w:tc>
        <w:tc>
          <w:tcPr>
            <w:tcW w:w="11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50E38" w14:textId="77777777" w:rsidR="00D233D9" w:rsidRPr="00911C8D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Lead-time</w:t>
            </w:r>
          </w:p>
        </w:tc>
        <w:tc>
          <w:tcPr>
            <w:tcW w:w="1027" w:type="dxa"/>
          </w:tcPr>
          <w:p w14:paraId="71DF6198" w14:textId="77777777" w:rsidR="00D233D9" w:rsidRPr="00911C8D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Re-order Point</w:t>
            </w:r>
          </w:p>
        </w:tc>
        <w:tc>
          <w:tcPr>
            <w:tcW w:w="1486" w:type="dxa"/>
          </w:tcPr>
          <w:p w14:paraId="21AFE999" w14:textId="77777777" w:rsidR="00D233D9" w:rsidRPr="00911C8D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911C8D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Notes</w:t>
            </w:r>
          </w:p>
        </w:tc>
      </w:tr>
      <w:tr w:rsidR="00D233D9" w:rsidRPr="00FB79D2" w14:paraId="634C9382" w14:textId="77777777" w:rsidTr="00C638BC">
        <w:trPr>
          <w:trHeight w:val="468"/>
        </w:trPr>
        <w:tc>
          <w:tcPr>
            <w:tcW w:w="12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E6147" w14:textId="77777777" w:rsidR="00D233D9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71ECDA5" w14:textId="77777777" w:rsidR="00D233D9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E6A8CAE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93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A3F303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AE810D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9983BA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6D5F2C4B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331C26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027" w:type="dxa"/>
          </w:tcPr>
          <w:p w14:paraId="7ECBD503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86" w:type="dxa"/>
          </w:tcPr>
          <w:p w14:paraId="6CB7D3FD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D233D9" w:rsidRPr="00FB79D2" w14:paraId="03E61FC2" w14:textId="77777777" w:rsidTr="00C638BC">
        <w:trPr>
          <w:trHeight w:val="468"/>
        </w:trPr>
        <w:tc>
          <w:tcPr>
            <w:tcW w:w="12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CEE88" w14:textId="77777777" w:rsidR="00D233D9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3A10CF9" w14:textId="77777777" w:rsidR="00D233D9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BC3D326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93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880203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C2298B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C0AE76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17F1AD1A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8A75D2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027" w:type="dxa"/>
          </w:tcPr>
          <w:p w14:paraId="33D6B5AF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86" w:type="dxa"/>
          </w:tcPr>
          <w:p w14:paraId="4F04BD7C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D233D9" w:rsidRPr="00FB79D2" w14:paraId="64CEA46F" w14:textId="77777777" w:rsidTr="00C638BC">
        <w:trPr>
          <w:trHeight w:val="468"/>
        </w:trPr>
        <w:tc>
          <w:tcPr>
            <w:tcW w:w="126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F02DE2" w14:textId="77777777" w:rsidR="00D233D9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7FB48A87" w14:textId="77777777" w:rsidR="00D233D9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E5D038F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93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5E53A0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BAF053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A279C4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04263756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259DA2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027" w:type="dxa"/>
          </w:tcPr>
          <w:p w14:paraId="431D1CF4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86" w:type="dxa"/>
          </w:tcPr>
          <w:p w14:paraId="4EEC92F5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D233D9" w:rsidRPr="00FB79D2" w14:paraId="3EE690B7" w14:textId="77777777" w:rsidTr="00C638BC">
        <w:trPr>
          <w:trHeight w:val="468"/>
        </w:trPr>
        <w:tc>
          <w:tcPr>
            <w:tcW w:w="12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94EEB" w14:textId="77777777" w:rsidR="00D233D9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7368D5E" w14:textId="77777777" w:rsidR="00D233D9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B598754" w14:textId="77777777" w:rsidR="00D233D9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9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957B1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5E149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0B25E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23F79BF0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60D38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027" w:type="dxa"/>
          </w:tcPr>
          <w:p w14:paraId="67D5FEAC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86" w:type="dxa"/>
          </w:tcPr>
          <w:p w14:paraId="17980AE4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D233D9" w:rsidRPr="00FB79D2" w14:paraId="522179C9" w14:textId="77777777" w:rsidTr="00C638BC">
        <w:trPr>
          <w:trHeight w:val="468"/>
        </w:trPr>
        <w:tc>
          <w:tcPr>
            <w:tcW w:w="12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6BCB1" w14:textId="77777777" w:rsidR="00D233D9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898D4D6" w14:textId="77777777" w:rsidR="00D233D9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E4A85B0" w14:textId="77777777" w:rsidR="00D233D9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9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7762B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D4987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AAE43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517C2199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1BB95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027" w:type="dxa"/>
          </w:tcPr>
          <w:p w14:paraId="0326042C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86" w:type="dxa"/>
          </w:tcPr>
          <w:p w14:paraId="647AB292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D233D9" w:rsidRPr="00FB79D2" w14:paraId="6DF9E4DF" w14:textId="77777777" w:rsidTr="00C638BC">
        <w:trPr>
          <w:trHeight w:val="468"/>
        </w:trPr>
        <w:tc>
          <w:tcPr>
            <w:tcW w:w="12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9A0B2" w14:textId="77777777" w:rsidR="00D233D9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76CB3523" w14:textId="77777777" w:rsidR="00D233D9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949F054" w14:textId="77777777" w:rsidR="00D233D9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9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5BE53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36101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D1796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789EC67B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15996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027" w:type="dxa"/>
          </w:tcPr>
          <w:p w14:paraId="4646C7E7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86" w:type="dxa"/>
          </w:tcPr>
          <w:p w14:paraId="246FBEDD" w14:textId="77777777" w:rsidR="00D233D9" w:rsidRPr="00FB79D2" w:rsidRDefault="00D233D9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</w:tbl>
    <w:p w14:paraId="47FF51C1" w14:textId="77777777" w:rsidR="00FE5C4E" w:rsidRDefault="00FE5C4E" w:rsidP="00E676B6">
      <w:pPr>
        <w:tabs>
          <w:tab w:val="left" w:pos="5062"/>
        </w:tabs>
      </w:pPr>
    </w:p>
    <w:sectPr w:rsidR="00FE5C4E" w:rsidSect="00CA1681">
      <w:headerReference w:type="default" r:id="rId8"/>
      <w:footerReference w:type="default" r:id="rId9"/>
      <w:pgSz w:w="11900" w:h="16840"/>
      <w:pgMar w:top="100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F4FD0F" w14:textId="77777777" w:rsidR="0005541D" w:rsidRDefault="0005541D" w:rsidP="00FD0BB0">
      <w:r>
        <w:separator/>
      </w:r>
    </w:p>
  </w:endnote>
  <w:endnote w:type="continuationSeparator" w:id="0">
    <w:p w14:paraId="2B080206" w14:textId="77777777" w:rsidR="0005541D" w:rsidRDefault="0005541D" w:rsidP="00FD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77DA0" w14:textId="64ED8F3C" w:rsidR="00FD0BB0" w:rsidRDefault="003836CA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7F054D" wp14:editId="550200C0">
          <wp:simplePos x="0" y="0"/>
          <wp:positionH relativeFrom="column">
            <wp:posOffset>-899160</wp:posOffset>
          </wp:positionH>
          <wp:positionV relativeFrom="page">
            <wp:posOffset>9540240</wp:posOffset>
          </wp:positionV>
          <wp:extent cx="7604125" cy="1188720"/>
          <wp:effectExtent l="0" t="0" r="3175" b="5080"/>
          <wp:wrapTight wrapText="bothSides">
            <wp:wrapPolygon edited="0">
              <wp:start x="0" y="0"/>
              <wp:lineTo x="0" y="21462"/>
              <wp:lineTo x="21573" y="21462"/>
              <wp:lineTo x="21573" y="0"/>
              <wp:lineTo x="0" y="0"/>
            </wp:wrapPolygon>
          </wp:wrapTight>
          <wp:docPr id="88300942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009428" name="Picture 8830094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7B36F8" w14:textId="5D24B982" w:rsidR="00FD0BB0" w:rsidRDefault="00D41E9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4C2C2C" wp14:editId="02641463">
          <wp:simplePos x="0" y="0"/>
          <wp:positionH relativeFrom="column">
            <wp:posOffset>-635</wp:posOffset>
          </wp:positionH>
          <wp:positionV relativeFrom="paragraph">
            <wp:posOffset>1520190</wp:posOffset>
          </wp:positionV>
          <wp:extent cx="6630670" cy="958215"/>
          <wp:effectExtent l="0" t="0" r="0" b="0"/>
          <wp:wrapTight wrapText="bothSides">
            <wp:wrapPolygon edited="0">
              <wp:start x="0" y="0"/>
              <wp:lineTo x="0" y="21185"/>
              <wp:lineTo x="21554" y="21185"/>
              <wp:lineTo x="21554" y="0"/>
              <wp:lineTo x="0" y="0"/>
            </wp:wrapPolygon>
          </wp:wrapTight>
          <wp:docPr id="421487029" name="Picture 1" descr="A blue background with yellow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87029" name="Picture 1" descr="A blue background with yellow circl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0670" cy="9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EA84F" w14:textId="77777777" w:rsidR="0005541D" w:rsidRDefault="0005541D" w:rsidP="00FD0BB0">
      <w:r>
        <w:separator/>
      </w:r>
    </w:p>
  </w:footnote>
  <w:footnote w:type="continuationSeparator" w:id="0">
    <w:p w14:paraId="7585DC67" w14:textId="77777777" w:rsidR="0005541D" w:rsidRDefault="0005541D" w:rsidP="00FD0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A1833" w14:textId="599681B3" w:rsidR="00FD0BB0" w:rsidRDefault="009B7963" w:rsidP="00CA1681">
    <w:pPr>
      <w:pStyle w:val="Header"/>
      <w:ind w:left="-709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AF8FEA" wp14:editId="63793008">
          <wp:simplePos x="0" y="0"/>
          <wp:positionH relativeFrom="column">
            <wp:posOffset>4288790</wp:posOffset>
          </wp:positionH>
          <wp:positionV relativeFrom="paragraph">
            <wp:posOffset>-221615</wp:posOffset>
          </wp:positionV>
          <wp:extent cx="1853565" cy="1065530"/>
          <wp:effectExtent l="0" t="0" r="635" b="1270"/>
          <wp:wrapTight wrapText="bothSides">
            <wp:wrapPolygon edited="0">
              <wp:start x="0" y="0"/>
              <wp:lineTo x="0" y="21368"/>
              <wp:lineTo x="21459" y="21368"/>
              <wp:lineTo x="21459" y="0"/>
              <wp:lineTo x="0" y="0"/>
            </wp:wrapPolygon>
          </wp:wrapTight>
          <wp:docPr id="1683059853" name="Picture 1" descr="A logo with text and colorful ribb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759975" name="Picture 1" descr="A logo with text and colorful ribbon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062">
      <w:rPr>
        <w:noProof/>
      </w:rPr>
      <w:drawing>
        <wp:anchor distT="0" distB="0" distL="114300" distR="114300" simplePos="0" relativeHeight="251660288" behindDoc="1" locked="0" layoutInCell="1" allowOverlap="1" wp14:anchorId="4DC4BCF3" wp14:editId="45271522">
          <wp:simplePos x="0" y="0"/>
          <wp:positionH relativeFrom="column">
            <wp:posOffset>-452755</wp:posOffset>
          </wp:positionH>
          <wp:positionV relativeFrom="paragraph">
            <wp:posOffset>-203200</wp:posOffset>
          </wp:positionV>
          <wp:extent cx="1621155" cy="908050"/>
          <wp:effectExtent l="0" t="0" r="4445" b="6350"/>
          <wp:wrapTight wrapText="bothSides">
            <wp:wrapPolygon edited="0">
              <wp:start x="846" y="0"/>
              <wp:lineTo x="0" y="1813"/>
              <wp:lineTo x="0" y="9667"/>
              <wp:lineTo x="10830" y="9667"/>
              <wp:lineTo x="0" y="11782"/>
              <wp:lineTo x="0" y="21449"/>
              <wp:lineTo x="21490" y="21449"/>
              <wp:lineTo x="21490" y="17522"/>
              <wp:lineTo x="14722" y="13897"/>
              <wp:lineTo x="14045" y="12688"/>
              <wp:lineTo x="10660" y="9667"/>
              <wp:lineTo x="6769" y="4229"/>
              <wp:lineTo x="5753" y="1208"/>
              <wp:lineTo x="4907" y="0"/>
              <wp:lineTo x="846" y="0"/>
            </wp:wrapPolygon>
          </wp:wrapTight>
          <wp:docPr id="2047732107" name="Picture 3" descr="A black background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732107" name="Picture 3" descr="A black background with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F3C63" w14:textId="77777777" w:rsidR="00FD0BB0" w:rsidRDefault="00FD0B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57EE"/>
    <w:multiLevelType w:val="multilevel"/>
    <w:tmpl w:val="3A78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B5504"/>
    <w:multiLevelType w:val="multilevel"/>
    <w:tmpl w:val="A076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C2F1A"/>
    <w:multiLevelType w:val="hybridMultilevel"/>
    <w:tmpl w:val="A8E4A3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6483"/>
    <w:multiLevelType w:val="multilevel"/>
    <w:tmpl w:val="9D72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AC0C6E"/>
    <w:multiLevelType w:val="hybridMultilevel"/>
    <w:tmpl w:val="00B0B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377AE"/>
    <w:multiLevelType w:val="multilevel"/>
    <w:tmpl w:val="6206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770996">
    <w:abstractNumId w:val="1"/>
  </w:num>
  <w:num w:numId="2" w16cid:durableId="22560912">
    <w:abstractNumId w:val="0"/>
  </w:num>
  <w:num w:numId="3" w16cid:durableId="716391506">
    <w:abstractNumId w:val="5"/>
  </w:num>
  <w:num w:numId="4" w16cid:durableId="1018771878">
    <w:abstractNumId w:val="2"/>
  </w:num>
  <w:num w:numId="5" w16cid:durableId="1176580343">
    <w:abstractNumId w:val="3"/>
  </w:num>
  <w:num w:numId="6" w16cid:durableId="1613366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81"/>
    <w:rsid w:val="00033F61"/>
    <w:rsid w:val="0005541D"/>
    <w:rsid w:val="000570A5"/>
    <w:rsid w:val="00065714"/>
    <w:rsid w:val="0013605E"/>
    <w:rsid w:val="00156AE4"/>
    <w:rsid w:val="001749E4"/>
    <w:rsid w:val="001A7CE2"/>
    <w:rsid w:val="002360DA"/>
    <w:rsid w:val="0029155A"/>
    <w:rsid w:val="002A79AF"/>
    <w:rsid w:val="00317560"/>
    <w:rsid w:val="003529D3"/>
    <w:rsid w:val="003545C1"/>
    <w:rsid w:val="003656E8"/>
    <w:rsid w:val="003836CA"/>
    <w:rsid w:val="003C42BC"/>
    <w:rsid w:val="003D73B3"/>
    <w:rsid w:val="003E7B84"/>
    <w:rsid w:val="0040364F"/>
    <w:rsid w:val="00406159"/>
    <w:rsid w:val="00413BC7"/>
    <w:rsid w:val="004714EE"/>
    <w:rsid w:val="004A2D94"/>
    <w:rsid w:val="004B276F"/>
    <w:rsid w:val="004B44E8"/>
    <w:rsid w:val="004D3559"/>
    <w:rsid w:val="0053796D"/>
    <w:rsid w:val="00555967"/>
    <w:rsid w:val="00596058"/>
    <w:rsid w:val="005971F7"/>
    <w:rsid w:val="005C36F8"/>
    <w:rsid w:val="00627EB6"/>
    <w:rsid w:val="00673D89"/>
    <w:rsid w:val="006A765E"/>
    <w:rsid w:val="006D7C8D"/>
    <w:rsid w:val="007421F4"/>
    <w:rsid w:val="00783D7B"/>
    <w:rsid w:val="007F2252"/>
    <w:rsid w:val="008109A4"/>
    <w:rsid w:val="00820417"/>
    <w:rsid w:val="008462B8"/>
    <w:rsid w:val="00877D4C"/>
    <w:rsid w:val="008967EE"/>
    <w:rsid w:val="008A4401"/>
    <w:rsid w:val="008A4A4D"/>
    <w:rsid w:val="008D5F7F"/>
    <w:rsid w:val="00924072"/>
    <w:rsid w:val="009719DC"/>
    <w:rsid w:val="00985062"/>
    <w:rsid w:val="009B39D3"/>
    <w:rsid w:val="009B7963"/>
    <w:rsid w:val="009C27F4"/>
    <w:rsid w:val="009F157D"/>
    <w:rsid w:val="00B25337"/>
    <w:rsid w:val="00B27A50"/>
    <w:rsid w:val="00B31C3F"/>
    <w:rsid w:val="00B60738"/>
    <w:rsid w:val="00BC073E"/>
    <w:rsid w:val="00BD121C"/>
    <w:rsid w:val="00BD2A08"/>
    <w:rsid w:val="00BE1570"/>
    <w:rsid w:val="00C55C38"/>
    <w:rsid w:val="00CA1681"/>
    <w:rsid w:val="00CD67D4"/>
    <w:rsid w:val="00D233D9"/>
    <w:rsid w:val="00D41E94"/>
    <w:rsid w:val="00D7049C"/>
    <w:rsid w:val="00D77868"/>
    <w:rsid w:val="00DB11C3"/>
    <w:rsid w:val="00E016A7"/>
    <w:rsid w:val="00E676B6"/>
    <w:rsid w:val="00EF0000"/>
    <w:rsid w:val="00F06F75"/>
    <w:rsid w:val="00F30F5A"/>
    <w:rsid w:val="00F36347"/>
    <w:rsid w:val="00F62950"/>
    <w:rsid w:val="00FA1C89"/>
    <w:rsid w:val="00FD0BB0"/>
    <w:rsid w:val="00FE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693CE"/>
  <w14:defaultImageDpi w14:val="32767"/>
  <w15:chartTrackingRefBased/>
  <w15:docId w15:val="{DD9682B0-9764-E143-B8D9-6415E5F8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73E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n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73E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BB0"/>
  </w:style>
  <w:style w:type="paragraph" w:styleId="Footer">
    <w:name w:val="footer"/>
    <w:basedOn w:val="Normal"/>
    <w:link w:val="Foot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BB0"/>
  </w:style>
  <w:style w:type="character" w:customStyle="1" w:styleId="Heading1Char">
    <w:name w:val="Heading 1 Char"/>
    <w:basedOn w:val="DefaultParagraphFont"/>
    <w:link w:val="Heading1"/>
    <w:uiPriority w:val="9"/>
    <w:rsid w:val="00BC073E"/>
    <w:rPr>
      <w:rFonts w:ascii="Calibri" w:eastAsia="Calibri" w:hAnsi="Calibri" w:cs="Calibri"/>
      <w:b/>
      <w:sz w:val="48"/>
      <w:szCs w:val="48"/>
      <w:lang w:val="en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C073E"/>
    <w:rPr>
      <w:rFonts w:ascii="Calibri" w:eastAsia="Calibri" w:hAnsi="Calibri" w:cs="Calibri"/>
      <w:b/>
      <w:sz w:val="36"/>
      <w:szCs w:val="36"/>
      <w:lang w:val="en" w:eastAsia="en-GB"/>
    </w:rPr>
  </w:style>
  <w:style w:type="paragraph" w:styleId="ListParagraph">
    <w:name w:val="List Paragraph"/>
    <w:basedOn w:val="Normal"/>
    <w:uiPriority w:val="34"/>
    <w:qFormat/>
    <w:rsid w:val="00BC073E"/>
    <w:pPr>
      <w:ind w:left="720"/>
      <w:contextualSpacing/>
    </w:pPr>
    <w:rPr>
      <w:rFonts w:ascii="Calibri" w:eastAsia="Calibri" w:hAnsi="Calibri" w:cs="Calibri"/>
      <w:lang w:val="e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5EC94E7A34B418BB65C6DFB75EE73" ma:contentTypeVersion="19" ma:contentTypeDescription="Create a new document." ma:contentTypeScope="" ma:versionID="fa7e6c8d2b45fdfa1ab0e1a920ab82bb">
  <xsd:schema xmlns:xsd="http://www.w3.org/2001/XMLSchema" xmlns:xs="http://www.w3.org/2001/XMLSchema" xmlns:p="http://schemas.microsoft.com/office/2006/metadata/properties" xmlns:ns2="4012c284-5135-45e8-85b1-bb607e23adae" xmlns:ns3="ab895cf7-099f-4053-bd2e-819cbc3bc631" targetNamespace="http://schemas.microsoft.com/office/2006/metadata/properties" ma:root="true" ma:fieldsID="4370143d5d921b506e3410fa7df8d89f" ns2:_="" ns3:_="">
    <xsd:import namespace="4012c284-5135-45e8-85b1-bb607e23adae"/>
    <xsd:import namespace="ab895cf7-099f-4053-bd2e-819cbc3bc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2c284-5135-45e8-85b1-bb607e23a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b4337f-889a-49cc-a650-7850101ac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95cf7-099f-4053-bd2e-819cbc3bc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facdea-49c8-4727-8b79-b390e14399bc}" ma:internalName="TaxCatchAll" ma:showField="CatchAllData" ma:web="ab895cf7-099f-4053-bd2e-819cbc3bc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895cf7-099f-4053-bd2e-819cbc3bc631" xsi:nil="true"/>
    <lcf76f155ced4ddcb4097134ff3c332f xmlns="4012c284-5135-45e8-85b1-bb607e23ad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22C077-7738-4B4A-980D-04E5FD731B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BB2191-4E27-47AD-9EE1-3FBA3B123BAA}"/>
</file>

<file path=customXml/itemProps3.xml><?xml version="1.0" encoding="utf-8"?>
<ds:datastoreItem xmlns:ds="http://schemas.openxmlformats.org/officeDocument/2006/customXml" ds:itemID="{5BD63F49-AD44-4F9D-A076-F0FB5B53B3C1}"/>
</file>

<file path=customXml/itemProps4.xml><?xml version="1.0" encoding="utf-8"?>
<ds:datastoreItem xmlns:ds="http://schemas.openxmlformats.org/officeDocument/2006/customXml" ds:itemID="{BEA7827D-E542-4AA6-91FA-F7764B1088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Harding</dc:creator>
  <cp:keywords/>
  <dc:description/>
  <cp:lastModifiedBy>Kim Hulse</cp:lastModifiedBy>
  <cp:revision>3</cp:revision>
  <cp:lastPrinted>2025-11-06T10:44:00Z</cp:lastPrinted>
  <dcterms:created xsi:type="dcterms:W3CDTF">2025-11-06T10:45:00Z</dcterms:created>
  <dcterms:modified xsi:type="dcterms:W3CDTF">2025-11-06T10:45:00Z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0x0101001DB5EC94E7A34B418BB65C6DFB75EE73</vt:lpwstr>
  </property>
</Properties>
</file>