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214D" w14:textId="0014D4C3" w:rsidR="003C4852" w:rsidRDefault="003C4852">
      <w:pPr>
        <w:spacing w:after="300"/>
      </w:pPr>
    </w:p>
    <w:p w14:paraId="5A7F6B73" w14:textId="77777777" w:rsidR="003C4852" w:rsidRDefault="00BB61E9">
      <w:pPr>
        <w:spacing w:after="200"/>
      </w:pPr>
      <w:r>
        <w:rPr>
          <w:b/>
          <w:color w:val="0E2841"/>
          <w:sz w:val="40"/>
        </w:rPr>
        <w:t>Glossary of Terms</w:t>
      </w:r>
    </w:p>
    <w:p w14:paraId="654A0AF1" w14:textId="77777777" w:rsidR="003C4852" w:rsidRDefault="00BB61E9">
      <w:pPr>
        <w:spacing w:before="200" w:after="120"/>
      </w:pPr>
      <w:r>
        <w:rPr>
          <w:b/>
          <w:color w:val="156082"/>
          <w:sz w:val="26"/>
        </w:rPr>
        <w:t>Procurement Act 2023 — Procurement Processes</w:t>
      </w:r>
    </w:p>
    <w:tbl>
      <w:tblPr>
        <w:tblW w:w="9000" w:type="dxa"/>
        <w:tblInd w:w="1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4600"/>
      </w:tblGrid>
      <w:tr w:rsidR="003C4852" w14:paraId="7D1B49CC" w14:textId="77777777">
        <w:tc>
          <w:tcPr>
            <w:tcW w:w="2200" w:type="dxa"/>
            <w:shd w:val="clear" w:color="auto" w:fill="0E2841"/>
          </w:tcPr>
          <w:p w14:paraId="6492BC87" w14:textId="77777777" w:rsidR="003C4852" w:rsidRDefault="00BB61E9">
            <w:r>
              <w:rPr>
                <w:b/>
                <w:color w:val="FFFFFF"/>
                <w:sz w:val="18"/>
              </w:rPr>
              <w:t>New Term</w:t>
            </w:r>
          </w:p>
        </w:tc>
        <w:tc>
          <w:tcPr>
            <w:tcW w:w="2200" w:type="dxa"/>
            <w:shd w:val="clear" w:color="auto" w:fill="0E2841"/>
          </w:tcPr>
          <w:p w14:paraId="6C578658" w14:textId="77777777" w:rsidR="003C4852" w:rsidRDefault="00BB61E9">
            <w:r>
              <w:rPr>
                <w:b/>
                <w:color w:val="FFFFFF"/>
                <w:sz w:val="18"/>
              </w:rPr>
              <w:t>Previous Term / Equivalent</w:t>
            </w:r>
          </w:p>
        </w:tc>
        <w:tc>
          <w:tcPr>
            <w:tcW w:w="4600" w:type="dxa"/>
            <w:shd w:val="clear" w:color="auto" w:fill="0E2841"/>
          </w:tcPr>
          <w:p w14:paraId="74C9CF1C" w14:textId="77777777" w:rsidR="003C4852" w:rsidRDefault="00BB61E9">
            <w:r>
              <w:rPr>
                <w:b/>
                <w:color w:val="FFFFFF"/>
                <w:sz w:val="18"/>
              </w:rPr>
              <w:t>Description</w:t>
            </w:r>
          </w:p>
        </w:tc>
      </w:tr>
      <w:tr w:rsidR="003C4852" w14:paraId="0FD8D461" w14:textId="77777777">
        <w:tc>
          <w:tcPr>
            <w:tcW w:w="2200" w:type="dxa"/>
          </w:tcPr>
          <w:p w14:paraId="1AEB1537" w14:textId="77777777" w:rsidR="003C4852" w:rsidRDefault="00BB61E9">
            <w:r>
              <w:rPr>
                <w:sz w:val="20"/>
              </w:rPr>
              <w:t>Assessment Methodology</w:t>
            </w:r>
          </w:p>
        </w:tc>
        <w:tc>
          <w:tcPr>
            <w:tcW w:w="2200" w:type="dxa"/>
          </w:tcPr>
          <w:p w14:paraId="4799AD6E" w14:textId="77777777" w:rsidR="003C4852" w:rsidRDefault="00BB61E9">
            <w:r>
              <w:rPr>
                <w:sz w:val="20"/>
              </w:rPr>
              <w:t>Evaluation Methodology</w:t>
            </w:r>
          </w:p>
        </w:tc>
        <w:tc>
          <w:tcPr>
            <w:tcW w:w="4600" w:type="dxa"/>
          </w:tcPr>
          <w:p w14:paraId="6D9F359E" w14:textId="77777777" w:rsidR="003C4852" w:rsidRDefault="00BB61E9">
            <w:r>
              <w:rPr>
                <w:sz w:val="20"/>
              </w:rPr>
              <w:t>The methodology which evaluators will use to assess tenders with regard to the award criteria.</w:t>
            </w:r>
          </w:p>
        </w:tc>
      </w:tr>
      <w:tr w:rsidR="003C4852" w14:paraId="5C14ED7A" w14:textId="77777777">
        <w:tc>
          <w:tcPr>
            <w:tcW w:w="2200" w:type="dxa"/>
            <w:shd w:val="clear" w:color="auto" w:fill="F7F4EF"/>
          </w:tcPr>
          <w:p w14:paraId="0C5848F6" w14:textId="77777777" w:rsidR="003C4852" w:rsidRDefault="00BB61E9">
            <w:r>
              <w:rPr>
                <w:sz w:val="20"/>
              </w:rPr>
              <w:t>Assessment Summary Characteristics and Relative Advantages</w:t>
            </w:r>
          </w:p>
        </w:tc>
        <w:tc>
          <w:tcPr>
            <w:tcW w:w="2200" w:type="dxa"/>
            <w:shd w:val="clear" w:color="auto" w:fill="F7F4EF"/>
          </w:tcPr>
          <w:p w14:paraId="31F3AFED" w14:textId="77777777" w:rsidR="003C4852" w:rsidRDefault="00BB61E9">
            <w:r>
              <w:rPr>
                <w:sz w:val="20"/>
              </w:rPr>
              <w:t>N/A</w:t>
            </w:r>
          </w:p>
        </w:tc>
        <w:tc>
          <w:tcPr>
            <w:tcW w:w="4600" w:type="dxa"/>
            <w:shd w:val="clear" w:color="auto" w:fill="F7F4EF"/>
          </w:tcPr>
          <w:p w14:paraId="6CB0F787" w14:textId="77777777" w:rsidR="003C4852" w:rsidRDefault="00BB61E9">
            <w:r>
              <w:rPr>
                <w:sz w:val="20"/>
              </w:rPr>
              <w:t>Feedback information which must be provided to a tenderer regarding the evaluation of their tender and the most advantageous tender.</w:t>
            </w:r>
          </w:p>
        </w:tc>
      </w:tr>
      <w:tr w:rsidR="003C4852" w14:paraId="0AFAE35E" w14:textId="77777777">
        <w:tc>
          <w:tcPr>
            <w:tcW w:w="2200" w:type="dxa"/>
          </w:tcPr>
          <w:p w14:paraId="29E74FD7" w14:textId="77777777" w:rsidR="003C4852" w:rsidRDefault="00BB61E9">
            <w:r>
              <w:rPr>
                <w:sz w:val="20"/>
              </w:rPr>
              <w:t>Award Without Competition</w:t>
            </w:r>
          </w:p>
        </w:tc>
        <w:tc>
          <w:tcPr>
            <w:tcW w:w="2200" w:type="dxa"/>
          </w:tcPr>
          <w:p w14:paraId="29EEC1E0" w14:textId="77777777" w:rsidR="003C4852" w:rsidRDefault="00BB61E9">
            <w:r>
              <w:rPr>
                <w:sz w:val="20"/>
              </w:rPr>
              <w:t>Direct Award (under a framework, no mini competition)</w:t>
            </w:r>
          </w:p>
        </w:tc>
        <w:tc>
          <w:tcPr>
            <w:tcW w:w="4600" w:type="dxa"/>
          </w:tcPr>
          <w:p w14:paraId="47906EE3" w14:textId="77777777" w:rsidR="003C4852" w:rsidRDefault="00BB61E9">
            <w:r>
              <w:rPr>
                <w:sz w:val="20"/>
              </w:rPr>
              <w:t>Direct award under a framework without competition – only permissible in defined circumstances.</w:t>
            </w:r>
          </w:p>
        </w:tc>
      </w:tr>
      <w:tr w:rsidR="003C4852" w14:paraId="37901D8C" w14:textId="77777777">
        <w:tc>
          <w:tcPr>
            <w:tcW w:w="2200" w:type="dxa"/>
            <w:shd w:val="clear" w:color="auto" w:fill="F7F4EF"/>
          </w:tcPr>
          <w:p w14:paraId="55F14C03" w14:textId="77777777" w:rsidR="003C4852" w:rsidRDefault="00BB61E9">
            <w:r>
              <w:rPr>
                <w:sz w:val="20"/>
              </w:rPr>
              <w:t>Competitive Flexible Procedure</w:t>
            </w:r>
          </w:p>
        </w:tc>
        <w:tc>
          <w:tcPr>
            <w:tcW w:w="2200" w:type="dxa"/>
            <w:shd w:val="clear" w:color="auto" w:fill="F7F4EF"/>
          </w:tcPr>
          <w:p w14:paraId="24FDF824" w14:textId="77777777" w:rsidR="003C4852" w:rsidRDefault="00BB61E9">
            <w:r>
              <w:rPr>
                <w:sz w:val="20"/>
              </w:rPr>
              <w:t>N/A</w:t>
            </w:r>
          </w:p>
        </w:tc>
        <w:tc>
          <w:tcPr>
            <w:tcW w:w="4600" w:type="dxa"/>
            <w:shd w:val="clear" w:color="auto" w:fill="F7F4EF"/>
          </w:tcPr>
          <w:p w14:paraId="3E2549E1" w14:textId="77777777" w:rsidR="003C4852" w:rsidRDefault="00BB61E9">
            <w:r>
              <w:rPr>
                <w:sz w:val="20"/>
              </w:rPr>
              <w:t>New flexible procurement procedure allowing design of multi-stage or tailored processes.</w:t>
            </w:r>
          </w:p>
        </w:tc>
      </w:tr>
      <w:tr w:rsidR="003C4852" w14:paraId="5AFA86D7" w14:textId="77777777">
        <w:tc>
          <w:tcPr>
            <w:tcW w:w="2200" w:type="dxa"/>
          </w:tcPr>
          <w:p w14:paraId="2ECA5169" w14:textId="77777777" w:rsidR="003C4852" w:rsidRDefault="00BB61E9">
            <w:r>
              <w:rPr>
                <w:sz w:val="20"/>
              </w:rPr>
              <w:t>Competitive Selection Process</w:t>
            </w:r>
          </w:p>
        </w:tc>
        <w:tc>
          <w:tcPr>
            <w:tcW w:w="2200" w:type="dxa"/>
          </w:tcPr>
          <w:p w14:paraId="22A202E9" w14:textId="77777777" w:rsidR="003C4852" w:rsidRDefault="00BB61E9">
            <w:r>
              <w:rPr>
                <w:sz w:val="20"/>
              </w:rPr>
              <w:t>Mini-competition</w:t>
            </w:r>
          </w:p>
        </w:tc>
        <w:tc>
          <w:tcPr>
            <w:tcW w:w="4600" w:type="dxa"/>
          </w:tcPr>
          <w:p w14:paraId="3C566F59" w14:textId="77777777" w:rsidR="003C4852" w:rsidRDefault="00BB61E9">
            <w:r>
              <w:rPr>
                <w:sz w:val="20"/>
              </w:rPr>
              <w:t>Award process under a framework that includes a competitive process between suppliers.</w:t>
            </w:r>
          </w:p>
        </w:tc>
      </w:tr>
      <w:tr w:rsidR="003C4852" w14:paraId="11E952B4" w14:textId="77777777">
        <w:tc>
          <w:tcPr>
            <w:tcW w:w="2200" w:type="dxa"/>
            <w:shd w:val="clear" w:color="auto" w:fill="F7F4EF"/>
          </w:tcPr>
          <w:p w14:paraId="5813DA51" w14:textId="77777777" w:rsidR="003C4852" w:rsidRDefault="00BB61E9">
            <w:r>
              <w:rPr>
                <w:sz w:val="20"/>
              </w:rPr>
              <w:t>Competitive Tendering Procedure</w:t>
            </w:r>
          </w:p>
        </w:tc>
        <w:tc>
          <w:tcPr>
            <w:tcW w:w="2200" w:type="dxa"/>
            <w:shd w:val="clear" w:color="auto" w:fill="F7F4EF"/>
          </w:tcPr>
          <w:p w14:paraId="0CAB4B11" w14:textId="77777777" w:rsidR="003C4852" w:rsidRDefault="00BB61E9">
            <w:r>
              <w:rPr>
                <w:sz w:val="20"/>
              </w:rPr>
              <w:t>Procurement Process / Procedure</w:t>
            </w:r>
          </w:p>
        </w:tc>
        <w:tc>
          <w:tcPr>
            <w:tcW w:w="4600" w:type="dxa"/>
            <w:shd w:val="clear" w:color="auto" w:fill="F7F4EF"/>
          </w:tcPr>
          <w:p w14:paraId="226B8566" w14:textId="77777777" w:rsidR="003C4852" w:rsidRDefault="00BB61E9">
            <w:r>
              <w:rPr>
                <w:sz w:val="20"/>
              </w:rPr>
              <w:t>Describes either the Open Procedure or the Competitive Flexible Procedure.</w:t>
            </w:r>
          </w:p>
        </w:tc>
      </w:tr>
      <w:tr w:rsidR="003C4852" w14:paraId="1C585F31" w14:textId="77777777">
        <w:tc>
          <w:tcPr>
            <w:tcW w:w="2200" w:type="dxa"/>
          </w:tcPr>
          <w:p w14:paraId="3F168328" w14:textId="77777777" w:rsidR="003C4852" w:rsidRDefault="00BB61E9">
            <w:r>
              <w:rPr>
                <w:sz w:val="20"/>
              </w:rPr>
              <w:t>Conditions of Participation</w:t>
            </w:r>
          </w:p>
        </w:tc>
        <w:tc>
          <w:tcPr>
            <w:tcW w:w="2200" w:type="dxa"/>
          </w:tcPr>
          <w:p w14:paraId="5DB25F1C" w14:textId="77777777" w:rsidR="003C4852" w:rsidRDefault="00BB61E9">
            <w:r>
              <w:rPr>
                <w:sz w:val="20"/>
              </w:rPr>
              <w:t>Selection Criteria</w:t>
            </w:r>
          </w:p>
        </w:tc>
        <w:tc>
          <w:tcPr>
            <w:tcW w:w="4600" w:type="dxa"/>
          </w:tcPr>
          <w:p w14:paraId="1EF79D40" w14:textId="77777777" w:rsidR="003C4852" w:rsidRDefault="00BB61E9">
            <w:r>
              <w:rPr>
                <w:sz w:val="20"/>
              </w:rPr>
              <w:t>Conditions in the tender documents that must be met to win a contract.</w:t>
            </w:r>
          </w:p>
        </w:tc>
      </w:tr>
      <w:tr w:rsidR="003C4852" w14:paraId="08813702" w14:textId="77777777">
        <w:tc>
          <w:tcPr>
            <w:tcW w:w="2200" w:type="dxa"/>
            <w:shd w:val="clear" w:color="auto" w:fill="F7F4EF"/>
          </w:tcPr>
          <w:p w14:paraId="0548A476" w14:textId="77777777" w:rsidR="003C4852" w:rsidRDefault="00BB61E9">
            <w:r>
              <w:rPr>
                <w:sz w:val="20"/>
              </w:rPr>
              <w:t>Direct Award</w:t>
            </w:r>
          </w:p>
        </w:tc>
        <w:tc>
          <w:tcPr>
            <w:tcW w:w="2200" w:type="dxa"/>
            <w:shd w:val="clear" w:color="auto" w:fill="F7F4EF"/>
          </w:tcPr>
          <w:p w14:paraId="4ED9E52F" w14:textId="77777777" w:rsidR="003C4852" w:rsidRDefault="00BB61E9">
            <w:r>
              <w:rPr>
                <w:sz w:val="20"/>
              </w:rPr>
              <w:t>Negotiated procedure without Notice</w:t>
            </w:r>
          </w:p>
        </w:tc>
        <w:tc>
          <w:tcPr>
            <w:tcW w:w="4600" w:type="dxa"/>
            <w:shd w:val="clear" w:color="auto" w:fill="F7F4EF"/>
          </w:tcPr>
          <w:p w14:paraId="183A1D42" w14:textId="77777777" w:rsidR="003C4852" w:rsidRDefault="00BB61E9">
            <w:r>
              <w:rPr>
                <w:sz w:val="20"/>
              </w:rPr>
              <w:t>A public contract awarded directly where legal grounds for doing so exist.</w:t>
            </w:r>
          </w:p>
        </w:tc>
      </w:tr>
      <w:tr w:rsidR="003C4852" w14:paraId="796BB38A" w14:textId="77777777">
        <w:tc>
          <w:tcPr>
            <w:tcW w:w="2200" w:type="dxa"/>
          </w:tcPr>
          <w:p w14:paraId="60280CE2" w14:textId="77777777" w:rsidR="003C4852" w:rsidRDefault="00BB61E9">
            <w:r>
              <w:rPr>
                <w:sz w:val="20"/>
              </w:rPr>
              <w:t>Frameworks</w:t>
            </w:r>
          </w:p>
        </w:tc>
        <w:tc>
          <w:tcPr>
            <w:tcW w:w="2200" w:type="dxa"/>
          </w:tcPr>
          <w:p w14:paraId="7B832D0A" w14:textId="77777777" w:rsidR="003C4852" w:rsidRDefault="00BB61E9">
            <w:r>
              <w:rPr>
                <w:sz w:val="20"/>
              </w:rPr>
              <w:t>Frameworks</w:t>
            </w:r>
          </w:p>
        </w:tc>
        <w:tc>
          <w:tcPr>
            <w:tcW w:w="4600" w:type="dxa"/>
          </w:tcPr>
          <w:p w14:paraId="7263CAE5" w14:textId="77777777" w:rsidR="003C4852" w:rsidRDefault="00BB61E9">
            <w:r>
              <w:rPr>
                <w:sz w:val="20"/>
              </w:rPr>
              <w:t>Agreements for future contract awards via competitive or non-competitive means.</w:t>
            </w:r>
          </w:p>
        </w:tc>
      </w:tr>
      <w:tr w:rsidR="003C4852" w14:paraId="2C63CFFD" w14:textId="77777777">
        <w:tc>
          <w:tcPr>
            <w:tcW w:w="2200" w:type="dxa"/>
            <w:shd w:val="clear" w:color="auto" w:fill="F7F4EF"/>
          </w:tcPr>
          <w:p w14:paraId="33D3BB2E" w14:textId="77777777" w:rsidR="003C4852" w:rsidRDefault="00BB61E9">
            <w:r>
              <w:rPr>
                <w:sz w:val="20"/>
              </w:rPr>
              <w:t>Legal and Financial Capacity</w:t>
            </w:r>
          </w:p>
        </w:tc>
        <w:tc>
          <w:tcPr>
            <w:tcW w:w="2200" w:type="dxa"/>
            <w:shd w:val="clear" w:color="auto" w:fill="F7F4EF"/>
          </w:tcPr>
          <w:p w14:paraId="5CC0ABE6" w14:textId="77777777" w:rsidR="003C4852" w:rsidRDefault="00BB61E9">
            <w:r>
              <w:rPr>
                <w:sz w:val="20"/>
              </w:rPr>
              <w:t>Economic and Financial Standing</w:t>
            </w:r>
          </w:p>
        </w:tc>
        <w:tc>
          <w:tcPr>
            <w:tcW w:w="4600" w:type="dxa"/>
            <w:shd w:val="clear" w:color="auto" w:fill="F7F4EF"/>
          </w:tcPr>
          <w:p w14:paraId="668F8EBD" w14:textId="77777777" w:rsidR="003C4852" w:rsidRDefault="00BB61E9">
            <w:r>
              <w:rPr>
                <w:sz w:val="20"/>
              </w:rPr>
              <w:t>A key assessment factor for supplier eligibility.</w:t>
            </w:r>
          </w:p>
        </w:tc>
      </w:tr>
      <w:tr w:rsidR="003C4852" w14:paraId="3A1F079E" w14:textId="77777777">
        <w:tc>
          <w:tcPr>
            <w:tcW w:w="2200" w:type="dxa"/>
          </w:tcPr>
          <w:p w14:paraId="0C2EE2E6" w14:textId="77777777" w:rsidR="003C4852" w:rsidRDefault="00BB61E9">
            <w:r>
              <w:rPr>
                <w:sz w:val="20"/>
              </w:rPr>
              <w:t>Most Advantageous Tender</w:t>
            </w:r>
          </w:p>
        </w:tc>
        <w:tc>
          <w:tcPr>
            <w:tcW w:w="2200" w:type="dxa"/>
          </w:tcPr>
          <w:p w14:paraId="7DC337B1" w14:textId="77777777" w:rsidR="003C4852" w:rsidRDefault="00BB61E9">
            <w:r>
              <w:rPr>
                <w:sz w:val="20"/>
              </w:rPr>
              <w:t>Most Economically Advantageous Tender</w:t>
            </w:r>
          </w:p>
        </w:tc>
        <w:tc>
          <w:tcPr>
            <w:tcW w:w="4600" w:type="dxa"/>
          </w:tcPr>
          <w:p w14:paraId="453C6C99" w14:textId="77777777" w:rsidR="003C4852" w:rsidRDefault="00BB61E9">
            <w:r>
              <w:rPr>
                <w:sz w:val="20"/>
              </w:rPr>
              <w:t>Tender best satisfying the buyer's requirements and award criteria.</w:t>
            </w:r>
          </w:p>
        </w:tc>
      </w:tr>
      <w:tr w:rsidR="003C4852" w14:paraId="44B5AA89" w14:textId="77777777">
        <w:tc>
          <w:tcPr>
            <w:tcW w:w="2200" w:type="dxa"/>
            <w:shd w:val="clear" w:color="auto" w:fill="F7F4EF"/>
          </w:tcPr>
          <w:p w14:paraId="537410AA" w14:textId="77777777" w:rsidR="003C4852" w:rsidRDefault="00BB61E9">
            <w:r>
              <w:rPr>
                <w:sz w:val="20"/>
              </w:rPr>
              <w:t>Multi-Staged Procedure</w:t>
            </w:r>
          </w:p>
        </w:tc>
        <w:tc>
          <w:tcPr>
            <w:tcW w:w="2200" w:type="dxa"/>
            <w:shd w:val="clear" w:color="auto" w:fill="F7F4EF"/>
          </w:tcPr>
          <w:p w14:paraId="26B0228D" w14:textId="77777777" w:rsidR="003C4852" w:rsidRDefault="00BB61E9">
            <w:r>
              <w:rPr>
                <w:sz w:val="20"/>
              </w:rPr>
              <w:t>Restricted / Dialogue / Negotiated Procedure</w:t>
            </w:r>
          </w:p>
        </w:tc>
        <w:tc>
          <w:tcPr>
            <w:tcW w:w="4600" w:type="dxa"/>
            <w:shd w:val="clear" w:color="auto" w:fill="F7F4EF"/>
          </w:tcPr>
          <w:p w14:paraId="4E2A3810" w14:textId="77777777" w:rsidR="003C4852" w:rsidRDefault="00BB61E9">
            <w:r>
              <w:rPr>
                <w:sz w:val="20"/>
              </w:rPr>
              <w:t>Any process involving more than one stage – e.g. Competitive Flexible Procedure.</w:t>
            </w:r>
          </w:p>
        </w:tc>
      </w:tr>
      <w:tr w:rsidR="003C4852" w14:paraId="3F4D5006" w14:textId="77777777">
        <w:tc>
          <w:tcPr>
            <w:tcW w:w="2200" w:type="dxa"/>
          </w:tcPr>
          <w:p w14:paraId="085C12C1" w14:textId="77777777" w:rsidR="003C4852" w:rsidRDefault="00BB61E9">
            <w:r>
              <w:rPr>
                <w:sz w:val="20"/>
              </w:rPr>
              <w:t>Open Framework</w:t>
            </w:r>
          </w:p>
        </w:tc>
        <w:tc>
          <w:tcPr>
            <w:tcW w:w="2200" w:type="dxa"/>
          </w:tcPr>
          <w:p w14:paraId="4F482671" w14:textId="77777777" w:rsidR="003C4852" w:rsidRDefault="00BB61E9">
            <w:r>
              <w:rPr>
                <w:sz w:val="20"/>
              </w:rPr>
              <w:t>N/A</w:t>
            </w:r>
          </w:p>
        </w:tc>
        <w:tc>
          <w:tcPr>
            <w:tcW w:w="4600" w:type="dxa"/>
          </w:tcPr>
          <w:p w14:paraId="1DF79CF6" w14:textId="77777777" w:rsidR="003C4852" w:rsidRDefault="00BB61E9">
            <w:r>
              <w:rPr>
                <w:sz w:val="20"/>
              </w:rPr>
              <w:t>A new framework type allowing reopening of competition during its term.</w:t>
            </w:r>
          </w:p>
        </w:tc>
      </w:tr>
      <w:tr w:rsidR="003C4852" w14:paraId="49B54181" w14:textId="77777777">
        <w:tc>
          <w:tcPr>
            <w:tcW w:w="2200" w:type="dxa"/>
            <w:shd w:val="clear" w:color="auto" w:fill="F7F4EF"/>
          </w:tcPr>
          <w:p w14:paraId="1403DB09" w14:textId="77777777" w:rsidR="003C4852" w:rsidRDefault="00BB61E9">
            <w:r>
              <w:rPr>
                <w:sz w:val="20"/>
              </w:rPr>
              <w:t>Open Procedure</w:t>
            </w:r>
          </w:p>
        </w:tc>
        <w:tc>
          <w:tcPr>
            <w:tcW w:w="2200" w:type="dxa"/>
            <w:shd w:val="clear" w:color="auto" w:fill="F7F4EF"/>
          </w:tcPr>
          <w:p w14:paraId="72F6AE79" w14:textId="77777777" w:rsidR="003C4852" w:rsidRDefault="00BB61E9">
            <w:r>
              <w:rPr>
                <w:sz w:val="20"/>
              </w:rPr>
              <w:t>Open Procedure</w:t>
            </w:r>
          </w:p>
        </w:tc>
        <w:tc>
          <w:tcPr>
            <w:tcW w:w="4600" w:type="dxa"/>
            <w:shd w:val="clear" w:color="auto" w:fill="F7F4EF"/>
          </w:tcPr>
          <w:p w14:paraId="7C905FB9" w14:textId="77777777" w:rsidR="003C4852" w:rsidRDefault="00BB61E9">
            <w:r>
              <w:rPr>
                <w:sz w:val="20"/>
              </w:rPr>
              <w:t>Single-stage process open to all qualified suppliers.</w:t>
            </w:r>
          </w:p>
        </w:tc>
      </w:tr>
      <w:tr w:rsidR="003C4852" w14:paraId="183E64CB" w14:textId="77777777">
        <w:tc>
          <w:tcPr>
            <w:tcW w:w="2200" w:type="dxa"/>
          </w:tcPr>
          <w:p w14:paraId="499ED119" w14:textId="77777777" w:rsidR="003C4852" w:rsidRDefault="00BB61E9">
            <w:r>
              <w:rPr>
                <w:sz w:val="20"/>
              </w:rPr>
              <w:lastRenderedPageBreak/>
              <w:t>Participation Period</w:t>
            </w:r>
          </w:p>
        </w:tc>
        <w:tc>
          <w:tcPr>
            <w:tcW w:w="2200" w:type="dxa"/>
          </w:tcPr>
          <w:p w14:paraId="6CC880C0" w14:textId="77777777" w:rsidR="003C4852" w:rsidRDefault="00BB61E9">
            <w:r>
              <w:rPr>
                <w:sz w:val="20"/>
              </w:rPr>
              <w:t>Selection Stage</w:t>
            </w:r>
          </w:p>
        </w:tc>
        <w:tc>
          <w:tcPr>
            <w:tcW w:w="4600" w:type="dxa"/>
          </w:tcPr>
          <w:p w14:paraId="63002954" w14:textId="77777777" w:rsidR="003C4852" w:rsidRDefault="00BB61E9">
            <w:r>
              <w:rPr>
                <w:sz w:val="20"/>
              </w:rPr>
              <w:t>The defined period for supplier participation prior to tendering.</w:t>
            </w:r>
          </w:p>
        </w:tc>
      </w:tr>
      <w:tr w:rsidR="003C4852" w14:paraId="35DCE901" w14:textId="77777777">
        <w:tc>
          <w:tcPr>
            <w:tcW w:w="2200" w:type="dxa"/>
            <w:shd w:val="clear" w:color="auto" w:fill="F7F4EF"/>
          </w:tcPr>
          <w:p w14:paraId="2CAD7B17" w14:textId="77777777" w:rsidR="003C4852" w:rsidRDefault="00BB61E9">
            <w:r>
              <w:rPr>
                <w:sz w:val="20"/>
              </w:rPr>
              <w:t>Preliminary Market Engagement</w:t>
            </w:r>
          </w:p>
        </w:tc>
        <w:tc>
          <w:tcPr>
            <w:tcW w:w="2200" w:type="dxa"/>
            <w:shd w:val="clear" w:color="auto" w:fill="F7F4EF"/>
          </w:tcPr>
          <w:p w14:paraId="1657F5CD" w14:textId="77777777" w:rsidR="003C4852" w:rsidRDefault="00BB61E9">
            <w:r>
              <w:rPr>
                <w:sz w:val="20"/>
              </w:rPr>
              <w:t>Pre-Market Engagement</w:t>
            </w:r>
          </w:p>
        </w:tc>
        <w:tc>
          <w:tcPr>
            <w:tcW w:w="4600" w:type="dxa"/>
            <w:shd w:val="clear" w:color="auto" w:fill="F7F4EF"/>
          </w:tcPr>
          <w:p w14:paraId="477D8826" w14:textId="77777777" w:rsidR="003C4852" w:rsidRDefault="00BB61E9">
            <w:r>
              <w:rPr>
                <w:sz w:val="20"/>
              </w:rPr>
              <w:t>Engaging with suppliers before publishing a tender notice.</w:t>
            </w:r>
          </w:p>
        </w:tc>
      </w:tr>
      <w:tr w:rsidR="003C4852" w14:paraId="11AA04E2" w14:textId="77777777">
        <w:tc>
          <w:tcPr>
            <w:tcW w:w="2200" w:type="dxa"/>
          </w:tcPr>
          <w:p w14:paraId="76E3A4F9" w14:textId="77777777" w:rsidR="003C4852" w:rsidRDefault="00BB61E9">
            <w:r>
              <w:rPr>
                <w:sz w:val="20"/>
              </w:rPr>
              <w:t>Technical Ability</w:t>
            </w:r>
          </w:p>
        </w:tc>
        <w:tc>
          <w:tcPr>
            <w:tcW w:w="2200" w:type="dxa"/>
          </w:tcPr>
          <w:p w14:paraId="163CEDF4" w14:textId="77777777" w:rsidR="003C4852" w:rsidRDefault="00BB61E9">
            <w:r>
              <w:rPr>
                <w:sz w:val="20"/>
              </w:rPr>
              <w:t>Technical and Professional Ability</w:t>
            </w:r>
          </w:p>
        </w:tc>
        <w:tc>
          <w:tcPr>
            <w:tcW w:w="4600" w:type="dxa"/>
          </w:tcPr>
          <w:p w14:paraId="3A81691B" w14:textId="77777777" w:rsidR="003C4852" w:rsidRDefault="00BB61E9">
            <w:r>
              <w:rPr>
                <w:sz w:val="20"/>
              </w:rPr>
              <w:t>A primary factor used to assess a supplier's capacity to deliver.</w:t>
            </w:r>
          </w:p>
        </w:tc>
      </w:tr>
      <w:tr w:rsidR="003C4852" w14:paraId="2FCF02CF" w14:textId="77777777">
        <w:tc>
          <w:tcPr>
            <w:tcW w:w="2200" w:type="dxa"/>
            <w:shd w:val="clear" w:color="auto" w:fill="F7F4EF"/>
          </w:tcPr>
          <w:p w14:paraId="4289FDEF" w14:textId="77777777" w:rsidR="003C4852" w:rsidRDefault="00BB61E9">
            <w:r>
              <w:rPr>
                <w:sz w:val="20"/>
              </w:rPr>
              <w:t>Tendering Period</w:t>
            </w:r>
          </w:p>
        </w:tc>
        <w:tc>
          <w:tcPr>
            <w:tcW w:w="2200" w:type="dxa"/>
            <w:shd w:val="clear" w:color="auto" w:fill="F7F4EF"/>
          </w:tcPr>
          <w:p w14:paraId="42DF9DA1" w14:textId="77777777" w:rsidR="003C4852" w:rsidRDefault="00BB61E9">
            <w:r>
              <w:rPr>
                <w:sz w:val="20"/>
              </w:rPr>
              <w:t>Tendering Stage</w:t>
            </w:r>
          </w:p>
        </w:tc>
        <w:tc>
          <w:tcPr>
            <w:tcW w:w="4600" w:type="dxa"/>
            <w:shd w:val="clear" w:color="auto" w:fill="F7F4EF"/>
          </w:tcPr>
          <w:p w14:paraId="17AF013B" w14:textId="77777777" w:rsidR="003C4852" w:rsidRDefault="00BB61E9">
            <w:r>
              <w:rPr>
                <w:sz w:val="20"/>
              </w:rPr>
              <w:t>Period between issuing the ITT and deadline for submissions.</w:t>
            </w:r>
          </w:p>
        </w:tc>
      </w:tr>
    </w:tbl>
    <w:p w14:paraId="33AB98E4" w14:textId="77777777" w:rsidR="003C4852" w:rsidRDefault="003C4852"/>
    <w:p w14:paraId="59152690" w14:textId="77777777" w:rsidR="003C4852" w:rsidRDefault="00BB61E9">
      <w:pPr>
        <w:spacing w:before="200" w:after="120"/>
      </w:pPr>
      <w:r>
        <w:rPr>
          <w:b/>
          <w:color w:val="156082"/>
          <w:sz w:val="26"/>
        </w:rPr>
        <w:t>Procurement Act 2023 — Notices &amp; Terms Guide</w:t>
      </w:r>
    </w:p>
    <w:tbl>
      <w:tblPr>
        <w:tblW w:w="9000" w:type="dxa"/>
        <w:tblInd w:w="1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00"/>
      </w:tblGrid>
      <w:tr w:rsidR="003C4852" w14:paraId="62FD971F" w14:textId="77777777">
        <w:tc>
          <w:tcPr>
            <w:tcW w:w="2500" w:type="dxa"/>
            <w:shd w:val="clear" w:color="auto" w:fill="0E2841"/>
          </w:tcPr>
          <w:p w14:paraId="1B7543F2" w14:textId="77777777" w:rsidR="003C4852" w:rsidRDefault="00BB61E9"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6500" w:type="dxa"/>
            <w:shd w:val="clear" w:color="auto" w:fill="0E2841"/>
          </w:tcPr>
          <w:p w14:paraId="7CBC6863" w14:textId="77777777" w:rsidR="003C4852" w:rsidRDefault="00BB61E9"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3C4852" w14:paraId="0264E146" w14:textId="77777777">
        <w:tc>
          <w:tcPr>
            <w:tcW w:w="2500" w:type="dxa"/>
          </w:tcPr>
          <w:p w14:paraId="359B7587" w14:textId="77777777" w:rsidR="003C4852" w:rsidRDefault="00BB61E9">
            <w:r>
              <w:rPr>
                <w:sz w:val="20"/>
              </w:rPr>
              <w:t>Procurement Act 2023</w:t>
            </w:r>
          </w:p>
        </w:tc>
        <w:tc>
          <w:tcPr>
            <w:tcW w:w="6500" w:type="dxa"/>
          </w:tcPr>
          <w:p w14:paraId="27F879C9" w14:textId="77777777" w:rsidR="003C4852" w:rsidRDefault="00BB61E9">
            <w:r>
              <w:rPr>
                <w:sz w:val="20"/>
              </w:rPr>
              <w:t>New legislation governing UK public procurement, replacing EU-based rules.</w:t>
            </w:r>
          </w:p>
        </w:tc>
      </w:tr>
      <w:tr w:rsidR="003C4852" w14:paraId="6E3935D5" w14:textId="77777777">
        <w:tc>
          <w:tcPr>
            <w:tcW w:w="2500" w:type="dxa"/>
            <w:shd w:val="clear" w:color="auto" w:fill="F7F4EF"/>
          </w:tcPr>
          <w:p w14:paraId="7322F851" w14:textId="77777777" w:rsidR="003C4852" w:rsidRDefault="00BB61E9">
            <w:r>
              <w:rPr>
                <w:sz w:val="20"/>
              </w:rPr>
              <w:t>Contracting Authority</w:t>
            </w:r>
          </w:p>
        </w:tc>
        <w:tc>
          <w:tcPr>
            <w:tcW w:w="6500" w:type="dxa"/>
            <w:shd w:val="clear" w:color="auto" w:fill="F7F4EF"/>
          </w:tcPr>
          <w:p w14:paraId="1F9D3CFB" w14:textId="77777777" w:rsidR="003C4852" w:rsidRDefault="00BB61E9">
            <w:r>
              <w:rPr>
                <w:sz w:val="20"/>
              </w:rPr>
              <w:t>Public sector body required to comply with the Procurement Act.</w:t>
            </w:r>
          </w:p>
        </w:tc>
      </w:tr>
      <w:tr w:rsidR="003C4852" w14:paraId="7B28D6C5" w14:textId="77777777">
        <w:tc>
          <w:tcPr>
            <w:tcW w:w="2500" w:type="dxa"/>
          </w:tcPr>
          <w:p w14:paraId="23D3259D" w14:textId="77777777" w:rsidR="003C4852" w:rsidRDefault="00BB61E9">
            <w:r>
              <w:rPr>
                <w:sz w:val="20"/>
              </w:rPr>
              <w:t>Competitive Flexible Procedure</w:t>
            </w:r>
          </w:p>
        </w:tc>
        <w:tc>
          <w:tcPr>
            <w:tcW w:w="6500" w:type="dxa"/>
          </w:tcPr>
          <w:p w14:paraId="7656CDFA" w14:textId="77777777" w:rsidR="003C4852" w:rsidRDefault="00BB61E9">
            <w:r>
              <w:rPr>
                <w:sz w:val="20"/>
              </w:rPr>
              <w:t>New default tendering process offering more flexibility than previous rules.</w:t>
            </w:r>
          </w:p>
        </w:tc>
      </w:tr>
      <w:tr w:rsidR="003C4852" w14:paraId="5B8ABB09" w14:textId="77777777">
        <w:tc>
          <w:tcPr>
            <w:tcW w:w="2500" w:type="dxa"/>
            <w:shd w:val="clear" w:color="auto" w:fill="F7F4EF"/>
          </w:tcPr>
          <w:p w14:paraId="68C43395" w14:textId="77777777" w:rsidR="003C4852" w:rsidRDefault="00BB61E9">
            <w:r>
              <w:rPr>
                <w:sz w:val="20"/>
              </w:rPr>
              <w:t>Dynamic Market Notice</w:t>
            </w:r>
          </w:p>
        </w:tc>
        <w:tc>
          <w:tcPr>
            <w:tcW w:w="6500" w:type="dxa"/>
            <w:shd w:val="clear" w:color="auto" w:fill="F7F4EF"/>
          </w:tcPr>
          <w:p w14:paraId="49FBCA3F" w14:textId="77777777" w:rsidR="003C4852" w:rsidRDefault="00BB61E9">
            <w:r>
              <w:rPr>
                <w:sz w:val="20"/>
              </w:rPr>
              <w:t>A flexible, open system that suppliers can join at any time.</w:t>
            </w:r>
          </w:p>
        </w:tc>
      </w:tr>
      <w:tr w:rsidR="003C4852" w14:paraId="0211C1F7" w14:textId="77777777">
        <w:tc>
          <w:tcPr>
            <w:tcW w:w="2500" w:type="dxa"/>
          </w:tcPr>
          <w:p w14:paraId="7436348A" w14:textId="77777777" w:rsidR="003C4852" w:rsidRDefault="00BB61E9">
            <w:r>
              <w:rPr>
                <w:sz w:val="20"/>
              </w:rPr>
              <w:t>Transparency Requirements</w:t>
            </w:r>
          </w:p>
        </w:tc>
        <w:tc>
          <w:tcPr>
            <w:tcW w:w="6500" w:type="dxa"/>
          </w:tcPr>
          <w:p w14:paraId="5E8A7E07" w14:textId="77777777" w:rsidR="003C4852" w:rsidRDefault="00BB61E9">
            <w:r>
              <w:rPr>
                <w:sz w:val="20"/>
              </w:rPr>
              <w:t>Stronger duty to publish procurement-related information at all stages.</w:t>
            </w:r>
          </w:p>
        </w:tc>
      </w:tr>
      <w:tr w:rsidR="003C4852" w14:paraId="11D27AEB" w14:textId="77777777">
        <w:tc>
          <w:tcPr>
            <w:tcW w:w="2500" w:type="dxa"/>
            <w:shd w:val="clear" w:color="auto" w:fill="F7F4EF"/>
          </w:tcPr>
          <w:p w14:paraId="7E4AD806" w14:textId="77777777" w:rsidR="003C4852" w:rsidRDefault="00BB61E9">
            <w:r>
              <w:rPr>
                <w:sz w:val="20"/>
              </w:rPr>
              <w:t>Notices</w:t>
            </w:r>
          </w:p>
        </w:tc>
        <w:tc>
          <w:tcPr>
            <w:tcW w:w="6500" w:type="dxa"/>
            <w:shd w:val="clear" w:color="auto" w:fill="F7F4EF"/>
          </w:tcPr>
          <w:p w14:paraId="184E6056" w14:textId="77777777" w:rsidR="003C4852" w:rsidRDefault="00BB61E9">
            <w:r>
              <w:rPr>
                <w:sz w:val="20"/>
              </w:rPr>
              <w:t>Standardised formats: Planning, Tender, Award, and Implementation notices.</w:t>
            </w:r>
          </w:p>
        </w:tc>
      </w:tr>
      <w:tr w:rsidR="003C4852" w14:paraId="4E62D88C" w14:textId="77777777">
        <w:tc>
          <w:tcPr>
            <w:tcW w:w="2500" w:type="dxa"/>
          </w:tcPr>
          <w:p w14:paraId="52C23B46" w14:textId="77777777" w:rsidR="003C4852" w:rsidRDefault="00BB61E9">
            <w:r>
              <w:rPr>
                <w:sz w:val="20"/>
              </w:rPr>
              <w:t>De-barment List</w:t>
            </w:r>
          </w:p>
        </w:tc>
        <w:tc>
          <w:tcPr>
            <w:tcW w:w="6500" w:type="dxa"/>
          </w:tcPr>
          <w:p w14:paraId="0068C539" w14:textId="77777777" w:rsidR="003C4852" w:rsidRDefault="00BB61E9">
            <w:r>
              <w:rPr>
                <w:sz w:val="20"/>
              </w:rPr>
              <w:t>Public list of suppliers excluded due to misconduct or legal breach.</w:t>
            </w:r>
          </w:p>
        </w:tc>
      </w:tr>
      <w:tr w:rsidR="003C4852" w14:paraId="26201009" w14:textId="77777777">
        <w:tc>
          <w:tcPr>
            <w:tcW w:w="2500" w:type="dxa"/>
            <w:shd w:val="clear" w:color="auto" w:fill="F7F4EF"/>
          </w:tcPr>
          <w:p w14:paraId="411A5F95" w14:textId="77777777" w:rsidR="003C4852" w:rsidRDefault="00BB61E9">
            <w:r>
              <w:rPr>
                <w:sz w:val="20"/>
              </w:rPr>
              <w:t>Procurement Objectives</w:t>
            </w:r>
          </w:p>
        </w:tc>
        <w:tc>
          <w:tcPr>
            <w:tcW w:w="6500" w:type="dxa"/>
            <w:shd w:val="clear" w:color="auto" w:fill="F7F4EF"/>
          </w:tcPr>
          <w:p w14:paraId="2BD1AE7F" w14:textId="77777777" w:rsidR="003C4852" w:rsidRDefault="00BB61E9">
            <w:r>
              <w:rPr>
                <w:sz w:val="20"/>
              </w:rPr>
              <w:t>Principles including value for money, integrity, and public benefit.</w:t>
            </w:r>
          </w:p>
        </w:tc>
      </w:tr>
      <w:tr w:rsidR="003C4852" w14:paraId="44FDCDFD" w14:textId="77777777">
        <w:tc>
          <w:tcPr>
            <w:tcW w:w="2500" w:type="dxa"/>
          </w:tcPr>
          <w:p w14:paraId="3713F134" w14:textId="77777777" w:rsidR="003C4852" w:rsidRDefault="00BB61E9">
            <w:r>
              <w:rPr>
                <w:sz w:val="20"/>
              </w:rPr>
              <w:t>Conflict of Interest</w:t>
            </w:r>
          </w:p>
        </w:tc>
        <w:tc>
          <w:tcPr>
            <w:tcW w:w="6500" w:type="dxa"/>
          </w:tcPr>
          <w:p w14:paraId="131919C1" w14:textId="77777777" w:rsidR="003C4852" w:rsidRDefault="00BB61E9">
            <w:r>
              <w:rPr>
                <w:sz w:val="20"/>
              </w:rPr>
              <w:t>Authorities must identify and manage conflicts during procurement.</w:t>
            </w:r>
          </w:p>
        </w:tc>
      </w:tr>
      <w:tr w:rsidR="003C4852" w14:paraId="2EBAEF4A" w14:textId="77777777">
        <w:tc>
          <w:tcPr>
            <w:tcW w:w="2500" w:type="dxa"/>
            <w:shd w:val="clear" w:color="auto" w:fill="F7F4EF"/>
          </w:tcPr>
          <w:p w14:paraId="57D44AAF" w14:textId="77777777" w:rsidR="003C4852" w:rsidRDefault="00BB61E9">
            <w:r>
              <w:rPr>
                <w:sz w:val="20"/>
              </w:rPr>
              <w:t>Contract Performance Info</w:t>
            </w:r>
          </w:p>
        </w:tc>
        <w:tc>
          <w:tcPr>
            <w:tcW w:w="6500" w:type="dxa"/>
            <w:shd w:val="clear" w:color="auto" w:fill="F7F4EF"/>
          </w:tcPr>
          <w:p w14:paraId="06420B5F" w14:textId="77777777" w:rsidR="003C4852" w:rsidRDefault="00BB61E9">
            <w:r>
              <w:rPr>
                <w:sz w:val="20"/>
              </w:rPr>
              <w:t>Publication of contract KPIs and delivery outcomes now required.</w:t>
            </w:r>
          </w:p>
        </w:tc>
      </w:tr>
      <w:tr w:rsidR="003C4852" w14:paraId="2E41CF5B" w14:textId="77777777">
        <w:tc>
          <w:tcPr>
            <w:tcW w:w="2500" w:type="dxa"/>
          </w:tcPr>
          <w:p w14:paraId="547AB110" w14:textId="77777777" w:rsidR="003C4852" w:rsidRDefault="00BB61E9">
            <w:r>
              <w:rPr>
                <w:sz w:val="20"/>
              </w:rPr>
              <w:t>Exempted Contracts</w:t>
            </w:r>
          </w:p>
        </w:tc>
        <w:tc>
          <w:tcPr>
            <w:tcW w:w="6500" w:type="dxa"/>
          </w:tcPr>
          <w:p w14:paraId="01E7A216" w14:textId="77777777" w:rsidR="003C4852" w:rsidRDefault="00BB61E9">
            <w:r>
              <w:rPr>
                <w:sz w:val="20"/>
              </w:rPr>
              <w:t>Specific contracts (e.g. security-related) exempt from the Act.</w:t>
            </w:r>
          </w:p>
        </w:tc>
      </w:tr>
      <w:tr w:rsidR="003C4852" w14:paraId="537867DE" w14:textId="77777777">
        <w:tc>
          <w:tcPr>
            <w:tcW w:w="2500" w:type="dxa"/>
            <w:shd w:val="clear" w:color="auto" w:fill="F7F4EF"/>
          </w:tcPr>
          <w:p w14:paraId="2DBC93BA" w14:textId="77777777" w:rsidR="003C4852" w:rsidRDefault="00BB61E9">
            <w:r>
              <w:rPr>
                <w:sz w:val="20"/>
              </w:rPr>
              <w:t>Central Digital Platform</w:t>
            </w:r>
          </w:p>
        </w:tc>
        <w:tc>
          <w:tcPr>
            <w:tcW w:w="6500" w:type="dxa"/>
            <w:shd w:val="clear" w:color="auto" w:fill="F7F4EF"/>
          </w:tcPr>
          <w:p w14:paraId="367C23DB" w14:textId="77777777" w:rsidR="003C4852" w:rsidRDefault="00BB61E9">
            <w:r>
              <w:rPr>
                <w:sz w:val="20"/>
              </w:rPr>
              <w:t>Future unified portal for notices and supplier registration.</w:t>
            </w:r>
          </w:p>
        </w:tc>
      </w:tr>
      <w:tr w:rsidR="003C4852" w14:paraId="573BB665" w14:textId="77777777">
        <w:tc>
          <w:tcPr>
            <w:tcW w:w="2500" w:type="dxa"/>
          </w:tcPr>
          <w:p w14:paraId="4D358B49" w14:textId="77777777" w:rsidR="003C4852" w:rsidRDefault="00BB61E9">
            <w:r>
              <w:rPr>
                <w:sz w:val="20"/>
              </w:rPr>
              <w:t>Preliminary Market Engagement Notice</w:t>
            </w:r>
          </w:p>
        </w:tc>
        <w:tc>
          <w:tcPr>
            <w:tcW w:w="6500" w:type="dxa"/>
          </w:tcPr>
          <w:p w14:paraId="1A2D4EFB" w14:textId="77777777" w:rsidR="003C4852" w:rsidRDefault="00BB61E9">
            <w:r>
              <w:rPr>
                <w:sz w:val="20"/>
              </w:rPr>
              <w:t>A notice issued by a Contracting Authority stating that they intend to conduct, or have conducted, preliminary market engagement.</w:t>
            </w:r>
          </w:p>
        </w:tc>
      </w:tr>
      <w:tr w:rsidR="003C4852" w14:paraId="22704F7C" w14:textId="77777777">
        <w:tc>
          <w:tcPr>
            <w:tcW w:w="2500" w:type="dxa"/>
            <w:shd w:val="clear" w:color="auto" w:fill="F7F4EF"/>
          </w:tcPr>
          <w:p w14:paraId="28D117E9" w14:textId="77777777" w:rsidR="003C4852" w:rsidRDefault="00BB61E9">
            <w:r>
              <w:rPr>
                <w:sz w:val="20"/>
              </w:rPr>
              <w:t>Supplier Registration System</w:t>
            </w:r>
          </w:p>
        </w:tc>
        <w:tc>
          <w:tcPr>
            <w:tcW w:w="6500" w:type="dxa"/>
            <w:shd w:val="clear" w:color="auto" w:fill="F7F4EF"/>
          </w:tcPr>
          <w:p w14:paraId="788F099A" w14:textId="77777777" w:rsidR="003C4852" w:rsidRDefault="00BB61E9">
            <w:r>
              <w:rPr>
                <w:sz w:val="20"/>
              </w:rPr>
              <w:t>A simplified, single-point registration system for suppliers under the new regime.</w:t>
            </w:r>
          </w:p>
        </w:tc>
      </w:tr>
      <w:tr w:rsidR="003C4852" w14:paraId="3D6F12F8" w14:textId="77777777">
        <w:tc>
          <w:tcPr>
            <w:tcW w:w="2500" w:type="dxa"/>
          </w:tcPr>
          <w:p w14:paraId="49A6094F" w14:textId="77777777" w:rsidR="003C4852" w:rsidRDefault="00BB61E9">
            <w:r>
              <w:rPr>
                <w:sz w:val="20"/>
              </w:rPr>
              <w:t>Framework Agreement</w:t>
            </w:r>
          </w:p>
        </w:tc>
        <w:tc>
          <w:tcPr>
            <w:tcW w:w="6500" w:type="dxa"/>
          </w:tcPr>
          <w:p w14:paraId="01BFFD8F" w14:textId="77777777" w:rsidR="003C4852" w:rsidRDefault="00BB61E9">
            <w:r>
              <w:rPr>
                <w:sz w:val="20"/>
              </w:rPr>
              <w:t>An agreement with one or more suppliers to provide goods/services under set terms for a period.</w:t>
            </w:r>
          </w:p>
        </w:tc>
      </w:tr>
      <w:tr w:rsidR="003C4852" w14:paraId="78C2C723" w14:textId="77777777">
        <w:tc>
          <w:tcPr>
            <w:tcW w:w="2500" w:type="dxa"/>
            <w:shd w:val="clear" w:color="auto" w:fill="F7F4EF"/>
          </w:tcPr>
          <w:p w14:paraId="69377A87" w14:textId="77777777" w:rsidR="003C4852" w:rsidRDefault="00BB61E9">
            <w:r>
              <w:rPr>
                <w:sz w:val="20"/>
              </w:rPr>
              <w:t>Call-off Contract</w:t>
            </w:r>
          </w:p>
        </w:tc>
        <w:tc>
          <w:tcPr>
            <w:tcW w:w="6500" w:type="dxa"/>
            <w:shd w:val="clear" w:color="auto" w:fill="F7F4EF"/>
          </w:tcPr>
          <w:p w14:paraId="106473FF" w14:textId="77777777" w:rsidR="003C4852" w:rsidRDefault="00BB61E9">
            <w:r>
              <w:rPr>
                <w:sz w:val="20"/>
              </w:rPr>
              <w:t>A specific contract awarded under a framework or dynamic market.</w:t>
            </w:r>
          </w:p>
        </w:tc>
      </w:tr>
      <w:tr w:rsidR="003C4852" w14:paraId="6CE474C7" w14:textId="77777777">
        <w:tc>
          <w:tcPr>
            <w:tcW w:w="2500" w:type="dxa"/>
          </w:tcPr>
          <w:p w14:paraId="635E912F" w14:textId="77777777" w:rsidR="003C4852" w:rsidRDefault="00BB61E9">
            <w:r>
              <w:rPr>
                <w:sz w:val="20"/>
              </w:rPr>
              <w:lastRenderedPageBreak/>
              <w:t>Innovation Partnership</w:t>
            </w:r>
          </w:p>
        </w:tc>
        <w:tc>
          <w:tcPr>
            <w:tcW w:w="6500" w:type="dxa"/>
          </w:tcPr>
          <w:p w14:paraId="3DF4A180" w14:textId="77777777" w:rsidR="003C4852" w:rsidRDefault="00BB61E9">
            <w:r>
              <w:rPr>
                <w:sz w:val="20"/>
              </w:rPr>
              <w:t>A procurement route designed to develop and purchase innovative solutions.</w:t>
            </w:r>
          </w:p>
        </w:tc>
      </w:tr>
      <w:tr w:rsidR="003C4852" w14:paraId="20A6715C" w14:textId="77777777">
        <w:tc>
          <w:tcPr>
            <w:tcW w:w="2500" w:type="dxa"/>
            <w:shd w:val="clear" w:color="auto" w:fill="F7F4EF"/>
          </w:tcPr>
          <w:p w14:paraId="1360E8DD" w14:textId="77777777" w:rsidR="003C4852" w:rsidRDefault="00BB61E9">
            <w:r>
              <w:rPr>
                <w:sz w:val="20"/>
              </w:rPr>
              <w:t>Most Advantageous Tender (MAT)</w:t>
            </w:r>
          </w:p>
        </w:tc>
        <w:tc>
          <w:tcPr>
            <w:tcW w:w="6500" w:type="dxa"/>
            <w:shd w:val="clear" w:color="auto" w:fill="F7F4EF"/>
          </w:tcPr>
          <w:p w14:paraId="07D20F6D" w14:textId="77777777" w:rsidR="003C4852" w:rsidRDefault="00BB61E9">
            <w:r>
              <w:rPr>
                <w:sz w:val="20"/>
              </w:rPr>
              <w:t>New terminology replacing MEAT; focuses on best overall value, not just lowest cost.</w:t>
            </w:r>
          </w:p>
        </w:tc>
      </w:tr>
      <w:tr w:rsidR="003C4852" w14:paraId="5A64B2F9" w14:textId="77777777">
        <w:tc>
          <w:tcPr>
            <w:tcW w:w="2500" w:type="dxa"/>
          </w:tcPr>
          <w:p w14:paraId="2C57A912" w14:textId="77777777" w:rsidR="003C4852" w:rsidRDefault="00BB61E9">
            <w:r>
              <w:rPr>
                <w:sz w:val="20"/>
              </w:rPr>
              <w:t>Contract Modification</w:t>
            </w:r>
          </w:p>
        </w:tc>
        <w:tc>
          <w:tcPr>
            <w:tcW w:w="6500" w:type="dxa"/>
          </w:tcPr>
          <w:p w14:paraId="39FDD86D" w14:textId="77777777" w:rsidR="003C4852" w:rsidRDefault="00BB61E9">
            <w:r>
              <w:rPr>
                <w:sz w:val="20"/>
              </w:rPr>
              <w:t>Rules for altering contracts after award; stricter reporting and justifications required.</w:t>
            </w:r>
          </w:p>
        </w:tc>
      </w:tr>
      <w:tr w:rsidR="003C4852" w14:paraId="7A2C4003" w14:textId="77777777">
        <w:tc>
          <w:tcPr>
            <w:tcW w:w="2500" w:type="dxa"/>
            <w:shd w:val="clear" w:color="auto" w:fill="F7F4EF"/>
          </w:tcPr>
          <w:p w14:paraId="6432F171" w14:textId="77777777" w:rsidR="003C4852" w:rsidRDefault="00BB61E9">
            <w:r>
              <w:rPr>
                <w:sz w:val="20"/>
              </w:rPr>
              <w:t>Pipeline Notice</w:t>
            </w:r>
          </w:p>
        </w:tc>
        <w:tc>
          <w:tcPr>
            <w:tcW w:w="6500" w:type="dxa"/>
            <w:shd w:val="clear" w:color="auto" w:fill="F7F4EF"/>
          </w:tcPr>
          <w:p w14:paraId="116566FA" w14:textId="77777777" w:rsidR="003C4852" w:rsidRDefault="00BB61E9">
            <w:r>
              <w:rPr>
                <w:sz w:val="20"/>
              </w:rPr>
              <w:t>Contracting Authorities spending over £100m annually must publish a notice (within the first 56 days of each financial year) stating all Public Contracts over £2m going out to tender within the next 18 months.</w:t>
            </w:r>
          </w:p>
        </w:tc>
      </w:tr>
      <w:tr w:rsidR="003C4852" w14:paraId="0F60D9D8" w14:textId="77777777">
        <w:tc>
          <w:tcPr>
            <w:tcW w:w="2500" w:type="dxa"/>
          </w:tcPr>
          <w:p w14:paraId="0EA09FF7" w14:textId="77777777" w:rsidR="003C4852" w:rsidRDefault="00BB61E9">
            <w:r>
              <w:rPr>
                <w:sz w:val="20"/>
              </w:rPr>
              <w:t>Learning from Experience</w:t>
            </w:r>
          </w:p>
        </w:tc>
        <w:tc>
          <w:tcPr>
            <w:tcW w:w="6500" w:type="dxa"/>
          </w:tcPr>
          <w:p w14:paraId="4325775C" w14:textId="77777777" w:rsidR="003C4852" w:rsidRDefault="00BB61E9">
            <w:r>
              <w:rPr>
                <w:sz w:val="20"/>
              </w:rPr>
              <w:t>Requirement for authorities to consider lessons from previous procurement outcomes.</w:t>
            </w:r>
          </w:p>
        </w:tc>
      </w:tr>
      <w:tr w:rsidR="003C4852" w14:paraId="63586EF2" w14:textId="77777777">
        <w:tc>
          <w:tcPr>
            <w:tcW w:w="2500" w:type="dxa"/>
            <w:shd w:val="clear" w:color="auto" w:fill="F7F4EF"/>
          </w:tcPr>
          <w:p w14:paraId="1191E9A5" w14:textId="77777777" w:rsidR="003C4852" w:rsidRDefault="00BB61E9">
            <w:r>
              <w:rPr>
                <w:sz w:val="20"/>
              </w:rPr>
              <w:t>Below-Threshold Tender Notice</w:t>
            </w:r>
          </w:p>
        </w:tc>
        <w:tc>
          <w:tcPr>
            <w:tcW w:w="6500" w:type="dxa"/>
            <w:shd w:val="clear" w:color="auto" w:fill="F7F4EF"/>
          </w:tcPr>
          <w:p w14:paraId="25BD1EEF" w14:textId="77777777" w:rsidR="003C4852" w:rsidRDefault="00BB61E9">
            <w:r>
              <w:rPr>
                <w:sz w:val="20"/>
              </w:rPr>
              <w:t>A notice declaring that the Contracting Authority intends to award a Contract whose value is below the current thresholds for the application of the Act.</w:t>
            </w:r>
          </w:p>
        </w:tc>
      </w:tr>
      <w:tr w:rsidR="003C4852" w14:paraId="5FE5E3AD" w14:textId="77777777">
        <w:tc>
          <w:tcPr>
            <w:tcW w:w="2500" w:type="dxa"/>
          </w:tcPr>
          <w:p w14:paraId="52A515A0" w14:textId="77777777" w:rsidR="003C4852" w:rsidRDefault="00BB61E9">
            <w:r>
              <w:rPr>
                <w:sz w:val="20"/>
              </w:rPr>
              <w:t>Contract Award Notice</w:t>
            </w:r>
          </w:p>
        </w:tc>
        <w:tc>
          <w:tcPr>
            <w:tcW w:w="6500" w:type="dxa"/>
          </w:tcPr>
          <w:p w14:paraId="223B818E" w14:textId="77777777" w:rsidR="003C4852" w:rsidRDefault="00BB61E9">
            <w:r>
              <w:rPr>
                <w:sz w:val="20"/>
              </w:rPr>
              <w:t>States intent to enter into a contract. Issued PRIOR to award, whereas under PCR2015 this notice was published after award – a significant change.</w:t>
            </w:r>
          </w:p>
        </w:tc>
      </w:tr>
      <w:tr w:rsidR="003C4852" w14:paraId="1ADB8358" w14:textId="77777777">
        <w:tc>
          <w:tcPr>
            <w:tcW w:w="2500" w:type="dxa"/>
            <w:shd w:val="clear" w:color="auto" w:fill="F7F4EF"/>
          </w:tcPr>
          <w:p w14:paraId="115C3B71" w14:textId="77777777" w:rsidR="003C4852" w:rsidRDefault="00BB61E9">
            <w:r>
              <w:rPr>
                <w:sz w:val="20"/>
              </w:rPr>
              <w:t>Contract Details Notice</w:t>
            </w:r>
          </w:p>
        </w:tc>
        <w:tc>
          <w:tcPr>
            <w:tcW w:w="6500" w:type="dxa"/>
            <w:shd w:val="clear" w:color="auto" w:fill="F7F4EF"/>
          </w:tcPr>
          <w:p w14:paraId="1A611E7E" w14:textId="77777777" w:rsidR="003C4852" w:rsidRDefault="00BB61E9">
            <w:r>
              <w:rPr>
                <w:sz w:val="20"/>
              </w:rPr>
              <w:t>States that the Contracting Authority has entered into a Public Contract (previously called Contract Award Notice under PCR2015).</w:t>
            </w:r>
          </w:p>
        </w:tc>
      </w:tr>
      <w:tr w:rsidR="003C4852" w14:paraId="4EB279D3" w14:textId="77777777">
        <w:tc>
          <w:tcPr>
            <w:tcW w:w="2500" w:type="dxa"/>
          </w:tcPr>
          <w:p w14:paraId="724A89F4" w14:textId="77777777" w:rsidR="003C4852" w:rsidRDefault="00BB61E9">
            <w:r>
              <w:rPr>
                <w:sz w:val="20"/>
              </w:rPr>
              <w:t>Tender Notice</w:t>
            </w:r>
          </w:p>
        </w:tc>
        <w:tc>
          <w:tcPr>
            <w:tcW w:w="6500" w:type="dxa"/>
          </w:tcPr>
          <w:p w14:paraId="309B3E51" w14:textId="77777777" w:rsidR="003C4852" w:rsidRDefault="00BB61E9">
            <w:r>
              <w:rPr>
                <w:sz w:val="20"/>
              </w:rPr>
              <w:t>States that a Contracting Authority intends to award a Public Contract and commences a Procurement process.</w:t>
            </w:r>
          </w:p>
        </w:tc>
      </w:tr>
      <w:tr w:rsidR="003C4852" w14:paraId="17B37262" w14:textId="77777777">
        <w:tc>
          <w:tcPr>
            <w:tcW w:w="2500" w:type="dxa"/>
            <w:shd w:val="clear" w:color="auto" w:fill="F7F4EF"/>
          </w:tcPr>
          <w:p w14:paraId="2FF869AC" w14:textId="77777777" w:rsidR="003C4852" w:rsidRDefault="00BB61E9">
            <w:r>
              <w:rPr>
                <w:sz w:val="20"/>
              </w:rPr>
              <w:t>Transparency Notice</w:t>
            </w:r>
          </w:p>
        </w:tc>
        <w:tc>
          <w:tcPr>
            <w:tcW w:w="6500" w:type="dxa"/>
            <w:shd w:val="clear" w:color="auto" w:fill="F7F4EF"/>
          </w:tcPr>
          <w:p w14:paraId="67FAB30A" w14:textId="77777777" w:rsidR="003C4852" w:rsidRDefault="00BB61E9">
            <w:r>
              <w:rPr>
                <w:sz w:val="20"/>
              </w:rPr>
              <w:t>Notifies the market that the authority intends to award a contract without running a competitive procedure.</w:t>
            </w:r>
          </w:p>
        </w:tc>
      </w:tr>
      <w:tr w:rsidR="003C4852" w14:paraId="3406866D" w14:textId="77777777">
        <w:tc>
          <w:tcPr>
            <w:tcW w:w="2500" w:type="dxa"/>
          </w:tcPr>
          <w:p w14:paraId="5A37D4B8" w14:textId="77777777" w:rsidR="003C4852" w:rsidRDefault="00BB61E9">
            <w:r>
              <w:rPr>
                <w:sz w:val="20"/>
              </w:rPr>
              <w:t>Planned Procurement Notice</w:t>
            </w:r>
          </w:p>
        </w:tc>
        <w:tc>
          <w:tcPr>
            <w:tcW w:w="6500" w:type="dxa"/>
          </w:tcPr>
          <w:p w14:paraId="2AE87CBF" w14:textId="77777777" w:rsidR="003C4852" w:rsidRDefault="00BB61E9">
            <w:r>
              <w:rPr>
                <w:sz w:val="20"/>
              </w:rPr>
              <w:t>States intent to publish a Tender Notice; can reduce the Tendering Period to a minimum of 10 days.</w:t>
            </w:r>
          </w:p>
        </w:tc>
      </w:tr>
    </w:tbl>
    <w:p w14:paraId="795FD1AB" w14:textId="77777777" w:rsidR="003C4852" w:rsidRDefault="003C4852"/>
    <w:sectPr w:rsidR="003C4852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80AB" w14:textId="77777777" w:rsidR="00273AB8" w:rsidRDefault="00273AB8" w:rsidP="002A3BEE">
      <w:pPr>
        <w:spacing w:after="0" w:line="240" w:lineRule="auto"/>
      </w:pPr>
      <w:r>
        <w:separator/>
      </w:r>
    </w:p>
  </w:endnote>
  <w:endnote w:type="continuationSeparator" w:id="0">
    <w:p w14:paraId="5CB19A49" w14:textId="77777777" w:rsidR="00273AB8" w:rsidRDefault="00273AB8" w:rsidP="002A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A395B" w14:textId="77777777" w:rsidR="00273AB8" w:rsidRDefault="00273AB8" w:rsidP="002A3BEE">
      <w:pPr>
        <w:spacing w:after="0" w:line="240" w:lineRule="auto"/>
      </w:pPr>
      <w:r>
        <w:separator/>
      </w:r>
    </w:p>
  </w:footnote>
  <w:footnote w:type="continuationSeparator" w:id="0">
    <w:p w14:paraId="3BF904A4" w14:textId="77777777" w:rsidR="00273AB8" w:rsidRDefault="00273AB8" w:rsidP="002A3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2DB38" w14:textId="41FEF305" w:rsidR="002A3BEE" w:rsidRDefault="00020BB5">
    <w:pPr>
      <w:pStyle w:val="Header"/>
    </w:pPr>
    <w:r w:rsidRPr="00A524DD">
      <w:drawing>
        <wp:anchor distT="0" distB="0" distL="114300" distR="114300" simplePos="0" relativeHeight="251659776" behindDoc="0" locked="0" layoutInCell="1" allowOverlap="1" wp14:anchorId="6CBDE167" wp14:editId="41F52058">
          <wp:simplePos x="0" y="0"/>
          <wp:positionH relativeFrom="column">
            <wp:posOffset>3631224</wp:posOffset>
          </wp:positionH>
          <wp:positionV relativeFrom="paragraph">
            <wp:posOffset>-369326</wp:posOffset>
          </wp:positionV>
          <wp:extent cx="3024505" cy="826135"/>
          <wp:effectExtent l="0" t="0" r="0" b="0"/>
          <wp:wrapSquare wrapText="bothSides"/>
          <wp:docPr id="14099192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980"/>
                  <a:stretch>
                    <a:fillRect/>
                  </a:stretch>
                </pic:blipFill>
                <pic:spPr bwMode="auto">
                  <a:xfrm>
                    <a:off x="0" y="0"/>
                    <a:ext cx="302450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B1A8D"/>
    <w:multiLevelType w:val="multilevel"/>
    <w:tmpl w:val="DB76DFFE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5186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852"/>
    <w:rsid w:val="00020BB5"/>
    <w:rsid w:val="001478A4"/>
    <w:rsid w:val="00273AB8"/>
    <w:rsid w:val="002A3BEE"/>
    <w:rsid w:val="003C4852"/>
    <w:rsid w:val="007F1A39"/>
    <w:rsid w:val="00825884"/>
    <w:rsid w:val="00BB61E9"/>
    <w:rsid w:val="00D84D7E"/>
    <w:rsid w:val="00E8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9CAB"/>
  <w15:docId w15:val="{0D397739-EA06-46FA-ADE1-B46B6A17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BEE"/>
  </w:style>
  <w:style w:type="paragraph" w:styleId="Footer">
    <w:name w:val="footer"/>
    <w:basedOn w:val="Normal"/>
    <w:link w:val="FooterChar"/>
    <w:uiPriority w:val="99"/>
    <w:unhideWhenUsed/>
    <w:rsid w:val="002A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20" ma:contentTypeDescription="Create a new document." ma:contentTypeScope="" ma:versionID="6474cbdfcfe9e189e7a2ebcd73e71862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E4B7C3-C3B2-49D9-AED8-C8271447381E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2.xml><?xml version="1.0" encoding="utf-8"?>
<ds:datastoreItem xmlns:ds="http://schemas.openxmlformats.org/officeDocument/2006/customXml" ds:itemID="{6DF4A868-09D4-4EDB-97CC-87B7E5828A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1FD43E-6D99-4E97-B2A6-4C98E9B40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4739</Characters>
  <Application>Microsoft Office Word</Application>
  <DocSecurity>0</DocSecurity>
  <Lines>39</Lines>
  <Paragraphs>11</Paragraphs>
  <ScaleCrop>false</ScaleCrop>
  <Company>Lincolnshire County Council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6</cp:revision>
  <dcterms:created xsi:type="dcterms:W3CDTF">2026-09-29T10:29:00Z</dcterms:created>
  <dcterms:modified xsi:type="dcterms:W3CDTF">2026-10-26T14:24:00Z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